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BEA60" w14:textId="77777777" w:rsidR="00FF3033" w:rsidRPr="005842E9" w:rsidRDefault="00B46FA2" w:rsidP="005842E9">
      <w:pPr>
        <w:jc w:val="center"/>
        <w:rPr>
          <w:sz w:val="32"/>
          <w:szCs w:val="32"/>
        </w:rPr>
      </w:pPr>
      <w:r>
        <w:rPr>
          <w:sz w:val="32"/>
          <w:szCs w:val="32"/>
        </w:rPr>
        <w:t>Ex</w:t>
      </w:r>
      <w:r w:rsidR="00020801" w:rsidRPr="005842E9">
        <w:rPr>
          <w:sz w:val="32"/>
          <w:szCs w:val="32"/>
        </w:rPr>
        <w:t>ternal Scruti</w:t>
      </w:r>
      <w:r w:rsidR="0012008E">
        <w:rPr>
          <w:sz w:val="32"/>
          <w:szCs w:val="32"/>
        </w:rPr>
        <w:t>ny Committee Work Programme 2018/19</w:t>
      </w:r>
    </w:p>
    <w:p w14:paraId="087B526D" w14:textId="77777777" w:rsidR="00020801" w:rsidRPr="005842E9" w:rsidRDefault="00B46FA2" w:rsidP="00020801">
      <w:pPr>
        <w:rPr>
          <w:szCs w:val="24"/>
        </w:rPr>
      </w:pPr>
      <w:r>
        <w:rPr>
          <w:szCs w:val="24"/>
        </w:rPr>
        <w:t>The Ex</w:t>
      </w:r>
      <w:r w:rsidR="00020801" w:rsidRPr="005842E9">
        <w:rPr>
          <w:szCs w:val="24"/>
        </w:rPr>
        <w:t>ternal Scrutiny Committee Work Programme details the planned activity to be undertaken over the forthcoming municipal year through scheduled</w:t>
      </w:r>
      <w:r>
        <w:rPr>
          <w:szCs w:val="24"/>
        </w:rPr>
        <w:t xml:space="preserve"> or extraordinary</w:t>
      </w:r>
      <w:r w:rsidR="00020801" w:rsidRPr="005842E9">
        <w:rPr>
          <w:szCs w:val="24"/>
        </w:rPr>
        <w:t xml:space="preserve"> Committee meetings, task group, events and through use of the 'rapporteur' model.</w:t>
      </w:r>
    </w:p>
    <w:p w14:paraId="7E15C223" w14:textId="77777777"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w:t>
      </w:r>
      <w:r w:rsidR="002F7473">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p>
    <w:p w14:paraId="23C5AECE" w14:textId="77777777"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14:paraId="71CFD280"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w:t>
      </w:r>
      <w:r w:rsidR="00A10125">
        <w:rPr>
          <w:szCs w:val="24"/>
        </w:rPr>
        <w:t xml:space="preserve"> and Scrutiny Committees, the Ex</w:t>
      </w:r>
      <w:r w:rsidRPr="005842E9">
        <w:rPr>
          <w:szCs w:val="24"/>
        </w:rPr>
        <w:t>ternal Scrutiny Committee will:</w:t>
      </w:r>
    </w:p>
    <w:p w14:paraId="4CCB6525" w14:textId="77777777" w:rsidR="004278D7" w:rsidRPr="003868B2" w:rsidRDefault="00A10125" w:rsidP="004278D7">
      <w:pPr>
        <w:numPr>
          <w:ilvl w:val="0"/>
          <w:numId w:val="5"/>
        </w:numPr>
        <w:spacing w:after="0" w:line="240" w:lineRule="auto"/>
      </w:pPr>
      <w:r>
        <w:t>R</w:t>
      </w:r>
      <w:r w:rsidR="004278D7" w:rsidRPr="003868B2">
        <w:t>eview and scrutinise issues, services or activities carried out by external organisations including public bodies, the voluntary and private sectors, partnerships and traded services which affect Lancashire or its inhabitants, and to make recommendations to the Full Council, Cab</w:t>
      </w:r>
      <w:r>
        <w:t xml:space="preserve">inet, </w:t>
      </w:r>
      <w:proofErr w:type="gramStart"/>
      <w:r>
        <w:t>Cabinet</w:t>
      </w:r>
      <w:proofErr w:type="gramEnd"/>
      <w:r>
        <w:t xml:space="preserve"> Members, Cabinet C</w:t>
      </w:r>
      <w:r w:rsidR="004278D7" w:rsidRPr="003868B2">
        <w:t>ommittees or external organisations as appropriate.</w:t>
      </w:r>
    </w:p>
    <w:p w14:paraId="31F424F8" w14:textId="77777777" w:rsidR="004278D7" w:rsidRPr="003868B2" w:rsidRDefault="00A10125" w:rsidP="004278D7">
      <w:pPr>
        <w:numPr>
          <w:ilvl w:val="0"/>
          <w:numId w:val="5"/>
        </w:numPr>
        <w:spacing w:after="0" w:line="240" w:lineRule="auto"/>
        <w:jc w:val="both"/>
      </w:pPr>
      <w:r>
        <w:t>R</w:t>
      </w:r>
      <w:r w:rsidR="004278D7" w:rsidRPr="003868B2">
        <w:t>eview and scrutinise the operation of the Crime and Disorder Reduction Partnership in Lancashire in accordance with the Police and Justice Act 2006 and make reports and recommendations to the responsible bodies as appropriate</w:t>
      </w:r>
    </w:p>
    <w:p w14:paraId="7E3B007A" w14:textId="77777777" w:rsidR="004278D7" w:rsidRPr="003868B2" w:rsidRDefault="004278D7" w:rsidP="004278D7">
      <w:pPr>
        <w:numPr>
          <w:ilvl w:val="0"/>
          <w:numId w:val="5"/>
        </w:numPr>
        <w:spacing w:after="0" w:line="240" w:lineRule="auto"/>
        <w:jc w:val="both"/>
      </w:pPr>
      <w:r w:rsidRPr="003868B2">
        <w:t>In connection with 2. above, to require an officer or employee of any of the responsible bodies to attend before the Committee to answer questions</w:t>
      </w:r>
    </w:p>
    <w:p w14:paraId="388E45FA" w14:textId="77777777" w:rsidR="004278D7" w:rsidRPr="003868B2" w:rsidRDefault="00A10125" w:rsidP="00A10125">
      <w:pPr>
        <w:numPr>
          <w:ilvl w:val="0"/>
          <w:numId w:val="5"/>
        </w:numPr>
        <w:spacing w:after="0" w:line="240" w:lineRule="auto"/>
        <w:jc w:val="both"/>
      </w:pPr>
      <w:r>
        <w:t>C</w:t>
      </w:r>
      <w:r w:rsidR="004278D7" w:rsidRPr="003868B2">
        <w:t>o-opt additional members in accordance with the Police and Justice Act 2006 if required, and to determine whether those co-opted members should be voting or non-voting</w:t>
      </w:r>
    </w:p>
    <w:p w14:paraId="451F52D3" w14:textId="77777777" w:rsidR="004278D7" w:rsidRPr="003868B2" w:rsidRDefault="00A10125" w:rsidP="004278D7">
      <w:pPr>
        <w:numPr>
          <w:ilvl w:val="0"/>
          <w:numId w:val="5"/>
        </w:numPr>
        <w:spacing w:after="0" w:line="240" w:lineRule="auto"/>
        <w:jc w:val="both"/>
      </w:pPr>
      <w:r>
        <w:rPr>
          <w:rFonts w:cs="Arial"/>
        </w:rPr>
        <w:t>R</w:t>
      </w:r>
      <w:r w:rsidR="004278D7" w:rsidRPr="003868B2">
        <w:rPr>
          <w:rFonts w:cs="Arial"/>
        </w:rPr>
        <w:t xml:space="preserve">eview and scrutinise the exercise by risk management authorities of flood risk management functions or coastal erosion risk management functions which may affect the local authority’s area </w:t>
      </w:r>
    </w:p>
    <w:p w14:paraId="5DB93BAC" w14:textId="77777777" w:rsidR="004278D7" w:rsidRDefault="004278D7" w:rsidP="004278D7">
      <w:pPr>
        <w:spacing w:after="0" w:line="240" w:lineRule="auto"/>
      </w:pPr>
    </w:p>
    <w:p w14:paraId="26331937"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115B23C2" w14:textId="77777777" w:rsidR="00FF3033" w:rsidRDefault="00FF3033" w:rsidP="00FF3033">
      <w:pPr>
        <w:rPr>
          <w:szCs w:val="24"/>
        </w:rPr>
      </w:pPr>
      <w:r w:rsidRPr="005842E9">
        <w:rPr>
          <w:szCs w:val="24"/>
        </w:rPr>
        <w:t>Th</w:t>
      </w:r>
      <w:r w:rsidR="0051373F">
        <w:rPr>
          <w:szCs w:val="24"/>
        </w:rPr>
        <w:t>e dat</w:t>
      </w:r>
      <w:r w:rsidR="00B46FA2">
        <w:rPr>
          <w:szCs w:val="24"/>
        </w:rPr>
        <w:t>es are indicative of when the Ex</w:t>
      </w:r>
      <w:r w:rsidR="0051373F">
        <w:rPr>
          <w:szCs w:val="24"/>
        </w:rPr>
        <w:t>ternal</w:t>
      </w:r>
      <w:r w:rsidRPr="005842E9">
        <w:rPr>
          <w:szCs w:val="24"/>
        </w:rPr>
        <w:t xml:space="preserve"> Scrutiny Committee will review the item, however they may need to be rescheduled and new items added </w:t>
      </w:r>
      <w:r w:rsidR="005842E9" w:rsidRPr="005842E9">
        <w:rPr>
          <w:szCs w:val="24"/>
        </w:rPr>
        <w:t>as required.</w:t>
      </w:r>
    </w:p>
    <w:p w14:paraId="7077759B" w14:textId="77777777" w:rsidR="005842E9" w:rsidRDefault="005842E9" w:rsidP="00FF3033">
      <w:pPr>
        <w:rPr>
          <w:szCs w:val="24"/>
        </w:rPr>
      </w:pPr>
    </w:p>
    <w:tbl>
      <w:tblPr>
        <w:tblStyle w:val="TableGrid"/>
        <w:tblW w:w="15168" w:type="dxa"/>
        <w:tblInd w:w="-714" w:type="dxa"/>
        <w:tblLook w:val="04A0" w:firstRow="1" w:lastRow="0" w:firstColumn="1" w:lastColumn="0" w:noHBand="0" w:noVBand="1"/>
      </w:tblPr>
      <w:tblGrid>
        <w:gridCol w:w="1737"/>
        <w:gridCol w:w="2957"/>
        <w:gridCol w:w="1956"/>
        <w:gridCol w:w="2764"/>
        <w:gridCol w:w="1735"/>
        <w:gridCol w:w="2388"/>
        <w:gridCol w:w="1631"/>
      </w:tblGrid>
      <w:tr w:rsidR="00D05245" w14:paraId="6105E818" w14:textId="77777777" w:rsidTr="004D3145">
        <w:trPr>
          <w:tblHeader/>
        </w:trPr>
        <w:tc>
          <w:tcPr>
            <w:tcW w:w="1737" w:type="dxa"/>
            <w:shd w:val="clear" w:color="auto" w:fill="D9D9D9" w:themeFill="background1" w:themeFillShade="D9"/>
          </w:tcPr>
          <w:p w14:paraId="31E7BAFD" w14:textId="77777777" w:rsidR="00B40E68" w:rsidRPr="00520B45" w:rsidRDefault="00B40E68" w:rsidP="005F70B6">
            <w:pPr>
              <w:rPr>
                <w:b/>
                <w:szCs w:val="24"/>
              </w:rPr>
            </w:pPr>
            <w:r>
              <w:rPr>
                <w:b/>
                <w:szCs w:val="24"/>
              </w:rPr>
              <w:t>Topic</w:t>
            </w:r>
          </w:p>
        </w:tc>
        <w:tc>
          <w:tcPr>
            <w:tcW w:w="2957" w:type="dxa"/>
            <w:shd w:val="clear" w:color="auto" w:fill="D9D9D9" w:themeFill="background1" w:themeFillShade="D9"/>
          </w:tcPr>
          <w:p w14:paraId="21FD432B" w14:textId="77777777" w:rsidR="00B40E68" w:rsidRDefault="00B40E68" w:rsidP="005F70B6">
            <w:pPr>
              <w:rPr>
                <w:b/>
                <w:szCs w:val="24"/>
              </w:rPr>
            </w:pPr>
            <w:r>
              <w:rPr>
                <w:b/>
                <w:szCs w:val="24"/>
              </w:rPr>
              <w:t>Scrutiny Purpose</w:t>
            </w:r>
          </w:p>
          <w:p w14:paraId="0C069880" w14:textId="77777777" w:rsidR="00B40E68" w:rsidRPr="00F73536" w:rsidRDefault="00B40E68" w:rsidP="00B40E68">
            <w:pPr>
              <w:rPr>
                <w:b/>
                <w:sz w:val="18"/>
                <w:szCs w:val="18"/>
              </w:rPr>
            </w:pPr>
            <w:r w:rsidRPr="00F73536">
              <w:rPr>
                <w:b/>
                <w:sz w:val="18"/>
                <w:szCs w:val="18"/>
              </w:rPr>
              <w:t xml:space="preserve">(objectives, </w:t>
            </w:r>
            <w:r w:rsidR="00F73536" w:rsidRPr="00F73536">
              <w:rPr>
                <w:b/>
                <w:sz w:val="18"/>
                <w:szCs w:val="18"/>
              </w:rPr>
              <w:t xml:space="preserve">evidence, </w:t>
            </w:r>
            <w:r w:rsidRPr="00F73536">
              <w:rPr>
                <w:b/>
                <w:sz w:val="18"/>
                <w:szCs w:val="18"/>
              </w:rPr>
              <w:t>initial outcomes)</w:t>
            </w:r>
          </w:p>
        </w:tc>
        <w:tc>
          <w:tcPr>
            <w:tcW w:w="1956" w:type="dxa"/>
            <w:shd w:val="clear" w:color="auto" w:fill="D9D9D9" w:themeFill="background1" w:themeFillShade="D9"/>
          </w:tcPr>
          <w:p w14:paraId="74150BBD" w14:textId="77777777" w:rsidR="00B40E68" w:rsidRPr="00520B45" w:rsidRDefault="00F02F3F" w:rsidP="005F70B6">
            <w:pPr>
              <w:rPr>
                <w:b/>
                <w:szCs w:val="24"/>
              </w:rPr>
            </w:pPr>
            <w:r>
              <w:rPr>
                <w:b/>
                <w:szCs w:val="24"/>
              </w:rPr>
              <w:t xml:space="preserve">Initial </w:t>
            </w:r>
            <w:r w:rsidR="00B40E68">
              <w:rPr>
                <w:b/>
                <w:szCs w:val="24"/>
              </w:rPr>
              <w:t xml:space="preserve">Scrutiny Method </w:t>
            </w:r>
          </w:p>
        </w:tc>
        <w:tc>
          <w:tcPr>
            <w:tcW w:w="2764" w:type="dxa"/>
            <w:shd w:val="clear" w:color="auto" w:fill="D9D9D9" w:themeFill="background1" w:themeFillShade="D9"/>
          </w:tcPr>
          <w:p w14:paraId="66703610" w14:textId="77777777" w:rsidR="00B40E68" w:rsidRPr="00520B45" w:rsidRDefault="00B40E68" w:rsidP="005F70B6">
            <w:pPr>
              <w:rPr>
                <w:b/>
                <w:szCs w:val="24"/>
              </w:rPr>
            </w:pPr>
            <w:r w:rsidRPr="00520B45">
              <w:rPr>
                <w:b/>
                <w:szCs w:val="24"/>
              </w:rPr>
              <w:t>Lead Officer</w:t>
            </w:r>
            <w:r>
              <w:rPr>
                <w:b/>
                <w:szCs w:val="24"/>
              </w:rPr>
              <w:t>s</w:t>
            </w:r>
            <w:r w:rsidR="00BA63A6">
              <w:rPr>
                <w:b/>
                <w:szCs w:val="24"/>
              </w:rPr>
              <w:t>/organisations</w:t>
            </w:r>
          </w:p>
        </w:tc>
        <w:tc>
          <w:tcPr>
            <w:tcW w:w="1735" w:type="dxa"/>
            <w:shd w:val="clear" w:color="auto" w:fill="D9D9D9" w:themeFill="background1" w:themeFillShade="D9"/>
          </w:tcPr>
          <w:p w14:paraId="79D6ECEF" w14:textId="77777777" w:rsidR="00B40E68" w:rsidRDefault="00B40E68" w:rsidP="005F70B6">
            <w:pPr>
              <w:rPr>
                <w:b/>
                <w:szCs w:val="24"/>
              </w:rPr>
            </w:pPr>
            <w:r w:rsidRPr="00520B45">
              <w:rPr>
                <w:b/>
                <w:szCs w:val="24"/>
              </w:rPr>
              <w:t>P</w:t>
            </w:r>
            <w:r>
              <w:rPr>
                <w:b/>
                <w:szCs w:val="24"/>
              </w:rPr>
              <w:t>roposed</w:t>
            </w:r>
          </w:p>
          <w:p w14:paraId="454C86F5" w14:textId="77777777" w:rsidR="00B40E68" w:rsidRPr="00520B45" w:rsidRDefault="00B40E68" w:rsidP="005F70B6">
            <w:pPr>
              <w:rPr>
                <w:b/>
                <w:szCs w:val="24"/>
              </w:rPr>
            </w:pPr>
            <w:r w:rsidRPr="00520B45">
              <w:rPr>
                <w:b/>
                <w:szCs w:val="24"/>
              </w:rPr>
              <w:t>Date</w:t>
            </w:r>
            <w:r>
              <w:rPr>
                <w:b/>
                <w:szCs w:val="24"/>
              </w:rPr>
              <w:t>(s)</w:t>
            </w:r>
          </w:p>
        </w:tc>
        <w:tc>
          <w:tcPr>
            <w:tcW w:w="2388" w:type="dxa"/>
            <w:shd w:val="clear" w:color="auto" w:fill="D9D9D9" w:themeFill="background1" w:themeFillShade="D9"/>
          </w:tcPr>
          <w:p w14:paraId="23E241D8" w14:textId="77777777" w:rsidR="00B40E68" w:rsidRPr="00520B45" w:rsidRDefault="00B40E68" w:rsidP="005F70B6">
            <w:pPr>
              <w:rPr>
                <w:b/>
                <w:szCs w:val="24"/>
              </w:rPr>
            </w:pPr>
            <w:r>
              <w:rPr>
                <w:b/>
                <w:szCs w:val="24"/>
              </w:rPr>
              <w:t>Recommendations</w:t>
            </w:r>
          </w:p>
        </w:tc>
        <w:tc>
          <w:tcPr>
            <w:tcW w:w="1631" w:type="dxa"/>
            <w:shd w:val="clear" w:color="auto" w:fill="D9D9D9" w:themeFill="background1" w:themeFillShade="D9"/>
          </w:tcPr>
          <w:p w14:paraId="3A04B0F8" w14:textId="77777777" w:rsidR="00B40E68" w:rsidRPr="00520B45" w:rsidRDefault="00B40E68" w:rsidP="005F70B6">
            <w:pPr>
              <w:rPr>
                <w:b/>
                <w:szCs w:val="24"/>
              </w:rPr>
            </w:pPr>
            <w:r>
              <w:rPr>
                <w:b/>
                <w:szCs w:val="24"/>
              </w:rPr>
              <w:t>Progress</w:t>
            </w:r>
          </w:p>
        </w:tc>
      </w:tr>
      <w:tr w:rsidR="00D05245" w14:paraId="02CE6E89" w14:textId="77777777" w:rsidTr="004D3145">
        <w:trPr>
          <w:trHeight w:val="510"/>
        </w:trPr>
        <w:tc>
          <w:tcPr>
            <w:tcW w:w="1737" w:type="dxa"/>
          </w:tcPr>
          <w:p w14:paraId="3AA5BDEE" w14:textId="77777777" w:rsidR="00C00DB1" w:rsidRDefault="00C00DB1" w:rsidP="004A4E1B">
            <w:pPr>
              <w:rPr>
                <w:szCs w:val="24"/>
              </w:rPr>
            </w:pPr>
            <w:r>
              <w:rPr>
                <w:szCs w:val="24"/>
              </w:rPr>
              <w:t>Flood Risk Management</w:t>
            </w:r>
          </w:p>
          <w:p w14:paraId="03742BCE" w14:textId="77777777" w:rsidR="00C00DB1" w:rsidRDefault="00C00DB1" w:rsidP="004A4E1B">
            <w:pPr>
              <w:rPr>
                <w:szCs w:val="24"/>
              </w:rPr>
            </w:pPr>
          </w:p>
        </w:tc>
        <w:tc>
          <w:tcPr>
            <w:tcW w:w="2957" w:type="dxa"/>
          </w:tcPr>
          <w:p w14:paraId="1AC1373C" w14:textId="77777777" w:rsidR="00C00DB1" w:rsidRDefault="00C00DB1" w:rsidP="004A4E1B">
            <w:pPr>
              <w:rPr>
                <w:szCs w:val="24"/>
              </w:rPr>
            </w:pPr>
            <w:r>
              <w:rPr>
                <w:szCs w:val="24"/>
              </w:rPr>
              <w:t>Partnership working</w:t>
            </w:r>
          </w:p>
        </w:tc>
        <w:tc>
          <w:tcPr>
            <w:tcW w:w="1956" w:type="dxa"/>
          </w:tcPr>
          <w:p w14:paraId="0170B186" w14:textId="77777777" w:rsidR="00C00DB1" w:rsidRDefault="00C00DB1" w:rsidP="004A4E1B">
            <w:pPr>
              <w:rPr>
                <w:szCs w:val="24"/>
              </w:rPr>
            </w:pPr>
            <w:r>
              <w:rPr>
                <w:szCs w:val="24"/>
              </w:rPr>
              <w:t>Committee</w:t>
            </w:r>
          </w:p>
        </w:tc>
        <w:tc>
          <w:tcPr>
            <w:tcW w:w="2764" w:type="dxa"/>
          </w:tcPr>
          <w:p w14:paraId="5B57020C" w14:textId="77777777" w:rsidR="00C00DB1" w:rsidRDefault="00C00DB1" w:rsidP="004A4E1B">
            <w:pPr>
              <w:rPr>
                <w:szCs w:val="24"/>
              </w:rPr>
            </w:pPr>
            <w:r>
              <w:rPr>
                <w:szCs w:val="24"/>
              </w:rPr>
              <w:t>United Utilities</w:t>
            </w:r>
          </w:p>
        </w:tc>
        <w:tc>
          <w:tcPr>
            <w:tcW w:w="1735" w:type="dxa"/>
          </w:tcPr>
          <w:p w14:paraId="33F6722F" w14:textId="285BCE63" w:rsidR="00C00DB1" w:rsidRDefault="00963A8E" w:rsidP="004A4E1B">
            <w:pPr>
              <w:rPr>
                <w:szCs w:val="24"/>
              </w:rPr>
            </w:pPr>
            <w:r>
              <w:rPr>
                <w:szCs w:val="24"/>
              </w:rPr>
              <w:t xml:space="preserve">4 </w:t>
            </w:r>
            <w:r w:rsidR="00C00DB1">
              <w:rPr>
                <w:szCs w:val="24"/>
              </w:rPr>
              <w:t>June</w:t>
            </w:r>
            <w:r>
              <w:rPr>
                <w:szCs w:val="24"/>
              </w:rPr>
              <w:t xml:space="preserve"> 2018</w:t>
            </w:r>
          </w:p>
        </w:tc>
        <w:tc>
          <w:tcPr>
            <w:tcW w:w="2388" w:type="dxa"/>
          </w:tcPr>
          <w:p w14:paraId="20EF46D4" w14:textId="77777777" w:rsidR="00E53C64" w:rsidRPr="00E53C64" w:rsidRDefault="00E53C64" w:rsidP="00E53C64">
            <w:pPr>
              <w:rPr>
                <w:szCs w:val="24"/>
              </w:rPr>
            </w:pPr>
            <w:r w:rsidRPr="00E53C64">
              <w:rPr>
                <w:szCs w:val="24"/>
              </w:rPr>
              <w:t>The report be noted;</w:t>
            </w:r>
          </w:p>
          <w:p w14:paraId="167CFA93" w14:textId="77777777" w:rsidR="00E53C64" w:rsidRPr="00E53C64" w:rsidRDefault="00E53C64" w:rsidP="00E53C64">
            <w:pPr>
              <w:rPr>
                <w:szCs w:val="24"/>
              </w:rPr>
            </w:pPr>
          </w:p>
          <w:p w14:paraId="53A59EC9" w14:textId="77777777" w:rsidR="00E53C64" w:rsidRPr="00E53C64" w:rsidRDefault="00E53C64" w:rsidP="00E53C64">
            <w:pPr>
              <w:rPr>
                <w:szCs w:val="24"/>
              </w:rPr>
            </w:pPr>
            <w:r w:rsidRPr="00E53C64">
              <w:rPr>
                <w:szCs w:val="24"/>
              </w:rPr>
              <w:t>The External Scrutiny Committee writes to the Secretary of State for the Ministry of Housing, Communities and Local Government to reconsider making water companies a statutory consultee on all planning applications; and</w:t>
            </w:r>
          </w:p>
          <w:p w14:paraId="13C96681" w14:textId="77777777" w:rsidR="00E53C64" w:rsidRPr="00E53C64" w:rsidRDefault="00E53C64" w:rsidP="00E53C64">
            <w:pPr>
              <w:rPr>
                <w:szCs w:val="24"/>
              </w:rPr>
            </w:pPr>
          </w:p>
          <w:p w14:paraId="108742A1" w14:textId="306E2267" w:rsidR="00C00DB1" w:rsidRDefault="00E53C64" w:rsidP="00E53C64">
            <w:pPr>
              <w:rPr>
                <w:szCs w:val="24"/>
              </w:rPr>
            </w:pPr>
            <w:r w:rsidRPr="00E53C64">
              <w:rPr>
                <w:szCs w:val="24"/>
              </w:rPr>
              <w:t>Natural flood risk management be added to the External Scrutiny Committee's work programme for 2018/19.</w:t>
            </w:r>
          </w:p>
        </w:tc>
        <w:tc>
          <w:tcPr>
            <w:tcW w:w="1631" w:type="dxa"/>
          </w:tcPr>
          <w:p w14:paraId="22B5A516" w14:textId="77777777" w:rsidR="00C00DB1" w:rsidRDefault="00963A8E" w:rsidP="004A4E1B">
            <w:pPr>
              <w:rPr>
                <w:szCs w:val="24"/>
              </w:rPr>
            </w:pPr>
            <w:r>
              <w:rPr>
                <w:szCs w:val="24"/>
              </w:rPr>
              <w:t>N/A</w:t>
            </w:r>
          </w:p>
          <w:p w14:paraId="4803E893" w14:textId="77777777" w:rsidR="00963A8E" w:rsidRDefault="00963A8E" w:rsidP="004A4E1B">
            <w:pPr>
              <w:rPr>
                <w:szCs w:val="24"/>
              </w:rPr>
            </w:pPr>
          </w:p>
          <w:p w14:paraId="7F42E959" w14:textId="77777777" w:rsidR="00A140C0" w:rsidRDefault="00A140C0" w:rsidP="004A4E1B">
            <w:pPr>
              <w:rPr>
                <w:color w:val="ED7D31" w:themeColor="accent2"/>
                <w:szCs w:val="24"/>
              </w:rPr>
            </w:pPr>
          </w:p>
          <w:p w14:paraId="545702F2" w14:textId="77777777" w:rsidR="00963A8E" w:rsidRDefault="00963A8E" w:rsidP="004A4E1B">
            <w:pPr>
              <w:rPr>
                <w:color w:val="ED7D31" w:themeColor="accent2"/>
                <w:szCs w:val="24"/>
              </w:rPr>
            </w:pPr>
            <w:r w:rsidRPr="00963A8E">
              <w:rPr>
                <w:color w:val="ED7D31" w:themeColor="accent2"/>
                <w:szCs w:val="24"/>
              </w:rPr>
              <w:t>In progress</w:t>
            </w:r>
          </w:p>
          <w:p w14:paraId="2918DF8C" w14:textId="77777777" w:rsidR="00963A8E" w:rsidRDefault="00963A8E" w:rsidP="004A4E1B">
            <w:pPr>
              <w:rPr>
                <w:color w:val="ED7D31" w:themeColor="accent2"/>
                <w:szCs w:val="24"/>
              </w:rPr>
            </w:pPr>
          </w:p>
          <w:p w14:paraId="3A44CB56" w14:textId="77777777" w:rsidR="00963A8E" w:rsidRDefault="00963A8E" w:rsidP="004A4E1B">
            <w:pPr>
              <w:rPr>
                <w:color w:val="ED7D31" w:themeColor="accent2"/>
                <w:szCs w:val="24"/>
              </w:rPr>
            </w:pPr>
          </w:p>
          <w:p w14:paraId="7C397509" w14:textId="77777777" w:rsidR="00963A8E" w:rsidRDefault="00963A8E" w:rsidP="004A4E1B">
            <w:pPr>
              <w:rPr>
                <w:color w:val="ED7D31" w:themeColor="accent2"/>
                <w:szCs w:val="24"/>
              </w:rPr>
            </w:pPr>
          </w:p>
          <w:p w14:paraId="434BCF75" w14:textId="77777777" w:rsidR="00963A8E" w:rsidRDefault="00963A8E" w:rsidP="004A4E1B">
            <w:pPr>
              <w:rPr>
                <w:color w:val="ED7D31" w:themeColor="accent2"/>
                <w:szCs w:val="24"/>
              </w:rPr>
            </w:pPr>
          </w:p>
          <w:p w14:paraId="4E6298A4" w14:textId="77777777" w:rsidR="00963A8E" w:rsidRDefault="00963A8E" w:rsidP="004A4E1B">
            <w:pPr>
              <w:rPr>
                <w:color w:val="ED7D31" w:themeColor="accent2"/>
                <w:szCs w:val="24"/>
              </w:rPr>
            </w:pPr>
          </w:p>
          <w:p w14:paraId="37869CF3" w14:textId="77777777" w:rsidR="00963A8E" w:rsidRDefault="00963A8E" w:rsidP="004A4E1B">
            <w:pPr>
              <w:rPr>
                <w:color w:val="ED7D31" w:themeColor="accent2"/>
                <w:szCs w:val="24"/>
              </w:rPr>
            </w:pPr>
          </w:p>
          <w:p w14:paraId="423FFA28" w14:textId="77777777" w:rsidR="00963A8E" w:rsidRDefault="00963A8E" w:rsidP="004A4E1B">
            <w:pPr>
              <w:rPr>
                <w:color w:val="ED7D31" w:themeColor="accent2"/>
                <w:szCs w:val="24"/>
              </w:rPr>
            </w:pPr>
          </w:p>
          <w:p w14:paraId="2B6CAF3E" w14:textId="77777777" w:rsidR="00963A8E" w:rsidRDefault="00963A8E" w:rsidP="004A4E1B">
            <w:pPr>
              <w:rPr>
                <w:color w:val="ED7D31" w:themeColor="accent2"/>
                <w:szCs w:val="24"/>
              </w:rPr>
            </w:pPr>
          </w:p>
          <w:p w14:paraId="038BA7C8" w14:textId="77777777" w:rsidR="00963A8E" w:rsidRDefault="00963A8E" w:rsidP="004A4E1B">
            <w:pPr>
              <w:rPr>
                <w:color w:val="ED7D31" w:themeColor="accent2"/>
                <w:szCs w:val="24"/>
              </w:rPr>
            </w:pPr>
          </w:p>
          <w:p w14:paraId="1FB0575C" w14:textId="77777777" w:rsidR="00963A8E" w:rsidRDefault="00963A8E" w:rsidP="004A4E1B">
            <w:pPr>
              <w:rPr>
                <w:color w:val="ED7D31" w:themeColor="accent2"/>
                <w:szCs w:val="24"/>
              </w:rPr>
            </w:pPr>
          </w:p>
          <w:p w14:paraId="4B1424A3" w14:textId="77777777" w:rsidR="00963A8E" w:rsidRDefault="00963A8E" w:rsidP="004A4E1B">
            <w:pPr>
              <w:rPr>
                <w:color w:val="ED7D31" w:themeColor="accent2"/>
                <w:szCs w:val="24"/>
              </w:rPr>
            </w:pPr>
          </w:p>
          <w:p w14:paraId="5ECE4E3D" w14:textId="77777777" w:rsidR="00963A8E" w:rsidRDefault="00963A8E" w:rsidP="004A4E1B">
            <w:pPr>
              <w:rPr>
                <w:color w:val="ED7D31" w:themeColor="accent2"/>
                <w:szCs w:val="24"/>
              </w:rPr>
            </w:pPr>
          </w:p>
          <w:p w14:paraId="2B9C6FE0" w14:textId="77777777" w:rsidR="00963A8E" w:rsidRDefault="00963A8E" w:rsidP="004A4E1B">
            <w:pPr>
              <w:rPr>
                <w:color w:val="ED7D31" w:themeColor="accent2"/>
                <w:szCs w:val="24"/>
              </w:rPr>
            </w:pPr>
          </w:p>
          <w:p w14:paraId="2B7CA590" w14:textId="77777777" w:rsidR="00963A8E" w:rsidRDefault="00963A8E" w:rsidP="004A4E1B">
            <w:pPr>
              <w:rPr>
                <w:color w:val="ED7D31" w:themeColor="accent2"/>
                <w:szCs w:val="24"/>
              </w:rPr>
            </w:pPr>
          </w:p>
          <w:p w14:paraId="3013CDE4" w14:textId="67E86033" w:rsidR="00963A8E" w:rsidRDefault="00963A8E" w:rsidP="004A4E1B">
            <w:pPr>
              <w:rPr>
                <w:szCs w:val="24"/>
              </w:rPr>
            </w:pPr>
            <w:r>
              <w:rPr>
                <w:color w:val="ED7D31" w:themeColor="accent2"/>
                <w:szCs w:val="24"/>
              </w:rPr>
              <w:t>In progress</w:t>
            </w:r>
          </w:p>
        </w:tc>
      </w:tr>
      <w:tr w:rsidR="00D05245" w14:paraId="31333BFB" w14:textId="77777777" w:rsidTr="004D3145">
        <w:trPr>
          <w:trHeight w:val="510"/>
        </w:trPr>
        <w:tc>
          <w:tcPr>
            <w:tcW w:w="1737" w:type="dxa"/>
          </w:tcPr>
          <w:p w14:paraId="7444149E" w14:textId="2D8AFC75" w:rsidR="00F20079" w:rsidRDefault="00F20079" w:rsidP="004A4E1B">
            <w:pPr>
              <w:rPr>
                <w:szCs w:val="24"/>
              </w:rPr>
            </w:pPr>
            <w:r>
              <w:rPr>
                <w:szCs w:val="24"/>
              </w:rPr>
              <w:t>Community Safety Partnerships</w:t>
            </w:r>
          </w:p>
        </w:tc>
        <w:tc>
          <w:tcPr>
            <w:tcW w:w="2957" w:type="dxa"/>
          </w:tcPr>
          <w:p w14:paraId="1BCFEE1F" w14:textId="77777777" w:rsidR="00F20079" w:rsidRDefault="00F20079" w:rsidP="00F20079">
            <w:pPr>
              <w:rPr>
                <w:rFonts w:cs="Arial"/>
                <w:szCs w:val="24"/>
              </w:rPr>
            </w:pPr>
            <w:r w:rsidRPr="00445F25">
              <w:rPr>
                <w:szCs w:val="24"/>
              </w:rPr>
              <w:t xml:space="preserve">Lancashire Community Safety Agreement - </w:t>
            </w:r>
            <w:r w:rsidRPr="00F20079">
              <w:rPr>
                <w:rFonts w:cs="Arial"/>
                <w:szCs w:val="24"/>
              </w:rPr>
              <w:t>Either;</w:t>
            </w:r>
            <w:r w:rsidRPr="00445F25">
              <w:rPr>
                <w:rFonts w:cs="Arial"/>
                <w:szCs w:val="24"/>
              </w:rPr>
              <w:t xml:space="preserve"> </w:t>
            </w:r>
          </w:p>
          <w:p w14:paraId="12EEEF09" w14:textId="77777777" w:rsidR="00F20079" w:rsidRPr="00445F25" w:rsidRDefault="00F20079" w:rsidP="00F20079">
            <w:pPr>
              <w:pStyle w:val="ListParagraph"/>
              <w:numPr>
                <w:ilvl w:val="0"/>
                <w:numId w:val="8"/>
              </w:numPr>
              <w:rPr>
                <w:rFonts w:cs="Arial"/>
                <w:szCs w:val="24"/>
              </w:rPr>
            </w:pPr>
            <w:r w:rsidRPr="00F20079">
              <w:rPr>
                <w:rFonts w:cs="Arial"/>
                <w:b/>
                <w:szCs w:val="24"/>
              </w:rPr>
              <w:t>Prevent</w:t>
            </w:r>
            <w:r>
              <w:rPr>
                <w:rFonts w:cs="Arial"/>
                <w:szCs w:val="24"/>
              </w:rPr>
              <w:t>;</w:t>
            </w:r>
          </w:p>
          <w:p w14:paraId="7354E297" w14:textId="77777777" w:rsidR="00F20079" w:rsidRPr="00D05245" w:rsidRDefault="00F20079" w:rsidP="00F20079">
            <w:pPr>
              <w:pStyle w:val="ListParagraph"/>
              <w:numPr>
                <w:ilvl w:val="0"/>
                <w:numId w:val="8"/>
              </w:numPr>
              <w:rPr>
                <w:rFonts w:cs="Arial"/>
                <w:color w:val="ED7D31" w:themeColor="accent2"/>
                <w:szCs w:val="24"/>
              </w:rPr>
            </w:pPr>
            <w:r w:rsidRPr="00D05245">
              <w:rPr>
                <w:rFonts w:cs="Arial"/>
                <w:color w:val="ED7D31" w:themeColor="accent2"/>
                <w:szCs w:val="24"/>
              </w:rPr>
              <w:lastRenderedPageBreak/>
              <w:t>Serious Harm Reduction Strategy;</w:t>
            </w:r>
          </w:p>
          <w:p w14:paraId="1A85AF26" w14:textId="77777777" w:rsidR="00F20079" w:rsidRPr="00D05245" w:rsidRDefault="00F20079" w:rsidP="00F20079">
            <w:pPr>
              <w:pStyle w:val="ListParagraph"/>
              <w:numPr>
                <w:ilvl w:val="0"/>
                <w:numId w:val="8"/>
              </w:numPr>
              <w:rPr>
                <w:rFonts w:cs="Arial"/>
                <w:color w:val="ED7D31" w:themeColor="accent2"/>
                <w:szCs w:val="24"/>
              </w:rPr>
            </w:pPr>
            <w:r w:rsidRPr="00D05245">
              <w:rPr>
                <w:rFonts w:cs="Arial"/>
                <w:color w:val="ED7D31" w:themeColor="accent2"/>
                <w:szCs w:val="24"/>
              </w:rPr>
              <w:t>Pan-Lancashire Domestic Abuse Strategy; or</w:t>
            </w:r>
          </w:p>
          <w:p w14:paraId="159CF4B0" w14:textId="77777777" w:rsidR="00F20079" w:rsidRPr="00D05245" w:rsidRDefault="00F20079" w:rsidP="00F20079">
            <w:pPr>
              <w:pStyle w:val="ListParagraph"/>
              <w:numPr>
                <w:ilvl w:val="0"/>
                <w:numId w:val="8"/>
              </w:numPr>
              <w:rPr>
                <w:rFonts w:cs="Arial"/>
                <w:color w:val="ED7D31" w:themeColor="accent2"/>
                <w:szCs w:val="24"/>
              </w:rPr>
            </w:pPr>
            <w:r w:rsidRPr="00D05245">
              <w:rPr>
                <w:rFonts w:cs="Arial"/>
                <w:color w:val="ED7D31" w:themeColor="accent2"/>
                <w:szCs w:val="24"/>
              </w:rPr>
              <w:t>Towards Zero Lancashire: Road Safety Strategy for Lancashire.</w:t>
            </w:r>
          </w:p>
          <w:p w14:paraId="72D7E2C3" w14:textId="77777777" w:rsidR="00F20079" w:rsidRDefault="00F20079" w:rsidP="004A4E1B">
            <w:pPr>
              <w:rPr>
                <w:szCs w:val="24"/>
              </w:rPr>
            </w:pPr>
          </w:p>
        </w:tc>
        <w:tc>
          <w:tcPr>
            <w:tcW w:w="1956" w:type="dxa"/>
          </w:tcPr>
          <w:p w14:paraId="5F234C4C" w14:textId="29E4CAA8" w:rsidR="00F20079" w:rsidRDefault="00F20079" w:rsidP="004A4E1B">
            <w:pPr>
              <w:rPr>
                <w:szCs w:val="24"/>
              </w:rPr>
            </w:pPr>
            <w:r>
              <w:rPr>
                <w:szCs w:val="24"/>
              </w:rPr>
              <w:lastRenderedPageBreak/>
              <w:t>Committee</w:t>
            </w:r>
          </w:p>
        </w:tc>
        <w:tc>
          <w:tcPr>
            <w:tcW w:w="2764" w:type="dxa"/>
          </w:tcPr>
          <w:p w14:paraId="6832EA61" w14:textId="493F4B46" w:rsidR="00F20079" w:rsidRDefault="00F20079" w:rsidP="004A4E1B">
            <w:pPr>
              <w:rPr>
                <w:szCs w:val="24"/>
              </w:rPr>
            </w:pPr>
            <w:r>
              <w:rPr>
                <w:szCs w:val="24"/>
              </w:rPr>
              <w:t>LCC</w:t>
            </w:r>
          </w:p>
        </w:tc>
        <w:tc>
          <w:tcPr>
            <w:tcW w:w="1735" w:type="dxa"/>
          </w:tcPr>
          <w:p w14:paraId="0456853A" w14:textId="6DF7C2D8" w:rsidR="00F20079" w:rsidRDefault="00D05245" w:rsidP="004A4E1B">
            <w:pPr>
              <w:rPr>
                <w:szCs w:val="24"/>
              </w:rPr>
            </w:pPr>
            <w:r>
              <w:rPr>
                <w:szCs w:val="24"/>
              </w:rPr>
              <w:t xml:space="preserve">16 </w:t>
            </w:r>
            <w:r w:rsidR="00F20079">
              <w:rPr>
                <w:szCs w:val="24"/>
              </w:rPr>
              <w:t>October</w:t>
            </w:r>
            <w:r>
              <w:rPr>
                <w:szCs w:val="24"/>
              </w:rPr>
              <w:t xml:space="preserve"> 2018</w:t>
            </w:r>
          </w:p>
        </w:tc>
        <w:tc>
          <w:tcPr>
            <w:tcW w:w="2388" w:type="dxa"/>
          </w:tcPr>
          <w:p w14:paraId="007EE773" w14:textId="77777777" w:rsidR="00764349" w:rsidRPr="00963A8E" w:rsidRDefault="00764349" w:rsidP="00963A8E">
            <w:pPr>
              <w:spacing w:line="252" w:lineRule="auto"/>
              <w:rPr>
                <w:rFonts w:cs="Arial"/>
                <w:szCs w:val="24"/>
              </w:rPr>
            </w:pPr>
            <w:r w:rsidRPr="00963A8E">
              <w:rPr>
                <w:rFonts w:cs="Arial"/>
                <w:szCs w:val="24"/>
              </w:rPr>
              <w:t xml:space="preserve">All County Councillors be urged to undertake </w:t>
            </w:r>
            <w:r w:rsidRPr="00963A8E">
              <w:rPr>
                <w:rFonts w:cs="Arial"/>
                <w:szCs w:val="24"/>
              </w:rPr>
              <w:lastRenderedPageBreak/>
              <w:t>Prevent Duty training; and</w:t>
            </w:r>
          </w:p>
          <w:p w14:paraId="07DF53AD" w14:textId="77777777" w:rsidR="00963A8E" w:rsidRDefault="00963A8E" w:rsidP="00963A8E">
            <w:pPr>
              <w:rPr>
                <w:rFonts w:cs="Arial"/>
                <w:szCs w:val="24"/>
              </w:rPr>
            </w:pPr>
          </w:p>
          <w:p w14:paraId="0641AA76" w14:textId="1F81CA5F" w:rsidR="00F20079" w:rsidRPr="00963A8E" w:rsidRDefault="00764349" w:rsidP="00963A8E">
            <w:pPr>
              <w:rPr>
                <w:szCs w:val="24"/>
              </w:rPr>
            </w:pPr>
            <w:r w:rsidRPr="00963A8E">
              <w:rPr>
                <w:rFonts w:cs="Arial"/>
                <w:szCs w:val="24"/>
              </w:rPr>
              <w:t>The Cabinet Member for Community and Cultural Services consider the allocation of a small budget to fund Prevent Duty project work.</w:t>
            </w:r>
          </w:p>
        </w:tc>
        <w:tc>
          <w:tcPr>
            <w:tcW w:w="1631" w:type="dxa"/>
          </w:tcPr>
          <w:p w14:paraId="5020F3F5" w14:textId="54FABA66" w:rsidR="00963A8E" w:rsidRDefault="00963A8E" w:rsidP="004A4E1B">
            <w:pPr>
              <w:rPr>
                <w:color w:val="ED7D31" w:themeColor="accent2"/>
                <w:szCs w:val="24"/>
              </w:rPr>
            </w:pPr>
            <w:r>
              <w:rPr>
                <w:color w:val="ED7D31" w:themeColor="accent2"/>
                <w:szCs w:val="24"/>
              </w:rPr>
              <w:lastRenderedPageBreak/>
              <w:t xml:space="preserve">To be considered by the Member Development </w:t>
            </w:r>
            <w:r>
              <w:rPr>
                <w:color w:val="ED7D31" w:themeColor="accent2"/>
                <w:szCs w:val="24"/>
              </w:rPr>
              <w:lastRenderedPageBreak/>
              <w:t>Working Group</w:t>
            </w:r>
            <w:r w:rsidR="00D05245">
              <w:rPr>
                <w:color w:val="ED7D31" w:themeColor="accent2"/>
                <w:szCs w:val="24"/>
              </w:rPr>
              <w:t xml:space="preserve"> 30 January 2019</w:t>
            </w:r>
          </w:p>
          <w:p w14:paraId="1B3BEBED" w14:textId="77777777" w:rsidR="00963A8E" w:rsidRDefault="00963A8E" w:rsidP="004A4E1B">
            <w:pPr>
              <w:rPr>
                <w:color w:val="ED7D31" w:themeColor="accent2"/>
                <w:szCs w:val="24"/>
              </w:rPr>
            </w:pPr>
          </w:p>
          <w:p w14:paraId="203520AC" w14:textId="52AAEB53" w:rsidR="00F20079" w:rsidRDefault="00764349" w:rsidP="004A4E1B">
            <w:pPr>
              <w:rPr>
                <w:szCs w:val="24"/>
              </w:rPr>
            </w:pPr>
            <w:r w:rsidRPr="00764349">
              <w:rPr>
                <w:color w:val="ED7D31" w:themeColor="accent2"/>
                <w:szCs w:val="24"/>
              </w:rPr>
              <w:t>Response due by 18 December 2018</w:t>
            </w:r>
          </w:p>
        </w:tc>
      </w:tr>
      <w:tr w:rsidR="00D05245" w14:paraId="0FDFEFAE" w14:textId="77777777" w:rsidTr="004D3145">
        <w:trPr>
          <w:trHeight w:val="510"/>
        </w:trPr>
        <w:tc>
          <w:tcPr>
            <w:tcW w:w="1737" w:type="dxa"/>
          </w:tcPr>
          <w:p w14:paraId="66AD89C6" w14:textId="77777777" w:rsidR="00E97F6E" w:rsidRDefault="00E97F6E" w:rsidP="00720A8D">
            <w:pPr>
              <w:rPr>
                <w:szCs w:val="24"/>
              </w:rPr>
            </w:pPr>
            <w:r>
              <w:rPr>
                <w:szCs w:val="24"/>
              </w:rPr>
              <w:lastRenderedPageBreak/>
              <w:t>Community Safety Partnerships</w:t>
            </w:r>
          </w:p>
        </w:tc>
        <w:tc>
          <w:tcPr>
            <w:tcW w:w="2957" w:type="dxa"/>
          </w:tcPr>
          <w:p w14:paraId="2A8B4FB7" w14:textId="77777777" w:rsidR="00E97F6E" w:rsidRDefault="00E97F6E" w:rsidP="00720A8D">
            <w:pPr>
              <w:rPr>
                <w:szCs w:val="24"/>
              </w:rPr>
            </w:pPr>
            <w:r>
              <w:rPr>
                <w:szCs w:val="24"/>
              </w:rPr>
              <w:t>Strategic Assessment – overview report</w:t>
            </w:r>
          </w:p>
        </w:tc>
        <w:tc>
          <w:tcPr>
            <w:tcW w:w="1956" w:type="dxa"/>
          </w:tcPr>
          <w:p w14:paraId="3D7DF0B4" w14:textId="77777777" w:rsidR="00E97F6E" w:rsidRDefault="00E97F6E" w:rsidP="00720A8D">
            <w:pPr>
              <w:rPr>
                <w:szCs w:val="24"/>
              </w:rPr>
            </w:pPr>
            <w:r>
              <w:rPr>
                <w:szCs w:val="24"/>
              </w:rPr>
              <w:t>Committee</w:t>
            </w:r>
          </w:p>
        </w:tc>
        <w:tc>
          <w:tcPr>
            <w:tcW w:w="2764" w:type="dxa"/>
          </w:tcPr>
          <w:p w14:paraId="2387FF56" w14:textId="77777777" w:rsidR="00E97F6E" w:rsidRDefault="00E97F6E" w:rsidP="00720A8D">
            <w:pPr>
              <w:rPr>
                <w:szCs w:val="24"/>
              </w:rPr>
            </w:pPr>
            <w:r>
              <w:rPr>
                <w:szCs w:val="24"/>
              </w:rPr>
              <w:t>Debbie Thompson and Clare Platt, LCC</w:t>
            </w:r>
          </w:p>
        </w:tc>
        <w:tc>
          <w:tcPr>
            <w:tcW w:w="1735" w:type="dxa"/>
          </w:tcPr>
          <w:p w14:paraId="335B46D5" w14:textId="0F85FF6E" w:rsidR="00E97F6E" w:rsidRDefault="009D136D" w:rsidP="009D136D">
            <w:pPr>
              <w:rPr>
                <w:szCs w:val="24"/>
              </w:rPr>
            </w:pPr>
            <w:r>
              <w:rPr>
                <w:szCs w:val="24"/>
              </w:rPr>
              <w:t>5</w:t>
            </w:r>
            <w:r w:rsidR="00963A8E">
              <w:rPr>
                <w:szCs w:val="24"/>
              </w:rPr>
              <w:t xml:space="preserve"> </w:t>
            </w:r>
            <w:r>
              <w:rPr>
                <w:szCs w:val="24"/>
              </w:rPr>
              <w:t>March</w:t>
            </w:r>
            <w:r w:rsidR="00E97F6E">
              <w:rPr>
                <w:szCs w:val="24"/>
              </w:rPr>
              <w:t xml:space="preserve"> 2019</w:t>
            </w:r>
          </w:p>
        </w:tc>
        <w:tc>
          <w:tcPr>
            <w:tcW w:w="2388" w:type="dxa"/>
          </w:tcPr>
          <w:p w14:paraId="4FB922E2" w14:textId="77777777" w:rsidR="00E97F6E" w:rsidRDefault="00E97F6E" w:rsidP="00720A8D">
            <w:pPr>
              <w:rPr>
                <w:szCs w:val="24"/>
              </w:rPr>
            </w:pPr>
          </w:p>
        </w:tc>
        <w:tc>
          <w:tcPr>
            <w:tcW w:w="1631" w:type="dxa"/>
          </w:tcPr>
          <w:p w14:paraId="0C7C1936" w14:textId="77777777" w:rsidR="00E97F6E" w:rsidRDefault="00E97F6E" w:rsidP="00720A8D">
            <w:pPr>
              <w:rPr>
                <w:szCs w:val="24"/>
              </w:rPr>
            </w:pPr>
          </w:p>
        </w:tc>
      </w:tr>
      <w:tr w:rsidR="00D05245" w14:paraId="1B0F96DB" w14:textId="77777777" w:rsidTr="004D3145">
        <w:trPr>
          <w:trHeight w:val="510"/>
        </w:trPr>
        <w:tc>
          <w:tcPr>
            <w:tcW w:w="1737" w:type="dxa"/>
          </w:tcPr>
          <w:p w14:paraId="09FE2811" w14:textId="401B10D2" w:rsidR="009D136D" w:rsidRDefault="009D136D" w:rsidP="00720A8D">
            <w:pPr>
              <w:rPr>
                <w:szCs w:val="24"/>
              </w:rPr>
            </w:pPr>
            <w:r>
              <w:rPr>
                <w:szCs w:val="24"/>
              </w:rPr>
              <w:t>Electricity North West</w:t>
            </w:r>
          </w:p>
        </w:tc>
        <w:tc>
          <w:tcPr>
            <w:tcW w:w="2957" w:type="dxa"/>
          </w:tcPr>
          <w:p w14:paraId="7653BC09" w14:textId="61E45788" w:rsidR="005B1967" w:rsidRPr="00D05245" w:rsidRDefault="00D05245" w:rsidP="00720A8D">
            <w:pPr>
              <w:rPr>
                <w:szCs w:val="24"/>
              </w:rPr>
            </w:pPr>
            <w:r w:rsidRPr="00D05245">
              <w:rPr>
                <w:szCs w:val="24"/>
              </w:rPr>
              <w:t>Powering the North West's Future and Community and Local Energy Strategy (</w:t>
            </w:r>
            <w:r w:rsidR="009D136D" w:rsidRPr="00D05245">
              <w:rPr>
                <w:szCs w:val="24"/>
              </w:rPr>
              <w:t>Sustainability and vulnerable customers</w:t>
            </w:r>
            <w:r w:rsidRPr="00D05245">
              <w:rPr>
                <w:szCs w:val="24"/>
              </w:rPr>
              <w:t>)</w:t>
            </w:r>
          </w:p>
        </w:tc>
        <w:tc>
          <w:tcPr>
            <w:tcW w:w="1956" w:type="dxa"/>
          </w:tcPr>
          <w:p w14:paraId="05619764" w14:textId="7C57F815" w:rsidR="009D136D" w:rsidRDefault="009D136D" w:rsidP="00720A8D">
            <w:pPr>
              <w:rPr>
                <w:szCs w:val="24"/>
              </w:rPr>
            </w:pPr>
            <w:r>
              <w:rPr>
                <w:szCs w:val="24"/>
              </w:rPr>
              <w:t>Committee</w:t>
            </w:r>
          </w:p>
        </w:tc>
        <w:tc>
          <w:tcPr>
            <w:tcW w:w="2764" w:type="dxa"/>
          </w:tcPr>
          <w:p w14:paraId="0BF97D05" w14:textId="50E35E03" w:rsidR="009D136D" w:rsidRDefault="005B1967" w:rsidP="00720A8D">
            <w:pPr>
              <w:rPr>
                <w:szCs w:val="24"/>
              </w:rPr>
            </w:pPr>
            <w:r>
              <w:rPr>
                <w:szCs w:val="24"/>
              </w:rPr>
              <w:t xml:space="preserve">Helen Norris, Mike Taylor, Jo </w:t>
            </w:r>
            <w:proofErr w:type="spellStart"/>
            <w:r>
              <w:rPr>
                <w:szCs w:val="24"/>
              </w:rPr>
              <w:t>Crinson</w:t>
            </w:r>
            <w:proofErr w:type="spellEnd"/>
            <w:r>
              <w:rPr>
                <w:szCs w:val="24"/>
              </w:rPr>
              <w:t xml:space="preserve"> and Jonathan Booth.</w:t>
            </w:r>
          </w:p>
        </w:tc>
        <w:tc>
          <w:tcPr>
            <w:tcW w:w="1735" w:type="dxa"/>
          </w:tcPr>
          <w:p w14:paraId="7D3DEA4D" w14:textId="03D7F0F9" w:rsidR="009D136D" w:rsidRDefault="009D136D" w:rsidP="009D136D">
            <w:pPr>
              <w:rPr>
                <w:szCs w:val="24"/>
              </w:rPr>
            </w:pPr>
            <w:r>
              <w:rPr>
                <w:szCs w:val="24"/>
              </w:rPr>
              <w:t>5 March 2019</w:t>
            </w:r>
          </w:p>
        </w:tc>
        <w:tc>
          <w:tcPr>
            <w:tcW w:w="2388" w:type="dxa"/>
          </w:tcPr>
          <w:p w14:paraId="4B5282BC" w14:textId="77777777" w:rsidR="009D136D" w:rsidRDefault="009D136D" w:rsidP="00720A8D">
            <w:pPr>
              <w:rPr>
                <w:szCs w:val="24"/>
              </w:rPr>
            </w:pPr>
          </w:p>
        </w:tc>
        <w:tc>
          <w:tcPr>
            <w:tcW w:w="1631" w:type="dxa"/>
          </w:tcPr>
          <w:p w14:paraId="376E3C64" w14:textId="77777777" w:rsidR="009D136D" w:rsidRDefault="009D136D" w:rsidP="00720A8D">
            <w:pPr>
              <w:rPr>
                <w:szCs w:val="24"/>
              </w:rPr>
            </w:pPr>
          </w:p>
        </w:tc>
      </w:tr>
      <w:tr w:rsidR="00D05245" w14:paraId="51D9EAB7" w14:textId="77777777" w:rsidTr="004D3145">
        <w:trPr>
          <w:trHeight w:val="510"/>
        </w:trPr>
        <w:tc>
          <w:tcPr>
            <w:tcW w:w="1737" w:type="dxa"/>
          </w:tcPr>
          <w:p w14:paraId="616D16CD" w14:textId="493DB30F" w:rsidR="00A140C0" w:rsidRDefault="00A140C0" w:rsidP="00720A8D">
            <w:pPr>
              <w:rPr>
                <w:szCs w:val="24"/>
              </w:rPr>
            </w:pPr>
            <w:r>
              <w:rPr>
                <w:szCs w:val="24"/>
              </w:rPr>
              <w:t>Non-crime</w:t>
            </w:r>
            <w:r w:rsidR="00641E26">
              <w:rPr>
                <w:szCs w:val="24"/>
              </w:rPr>
              <w:t>*</w:t>
            </w:r>
          </w:p>
        </w:tc>
        <w:tc>
          <w:tcPr>
            <w:tcW w:w="2957" w:type="dxa"/>
          </w:tcPr>
          <w:p w14:paraId="3110957C" w14:textId="3012F6CA" w:rsidR="00A140C0" w:rsidRDefault="00A140C0" w:rsidP="00720A8D">
            <w:pPr>
              <w:rPr>
                <w:szCs w:val="24"/>
              </w:rPr>
            </w:pPr>
            <w:r>
              <w:rPr>
                <w:szCs w:val="24"/>
              </w:rPr>
              <w:t>Overview of the issues identified as non-crime</w:t>
            </w:r>
          </w:p>
        </w:tc>
        <w:tc>
          <w:tcPr>
            <w:tcW w:w="1956" w:type="dxa"/>
          </w:tcPr>
          <w:p w14:paraId="644375CF" w14:textId="6292688A" w:rsidR="00A140C0" w:rsidRDefault="00A140C0" w:rsidP="00720A8D">
            <w:pPr>
              <w:rPr>
                <w:szCs w:val="24"/>
              </w:rPr>
            </w:pPr>
            <w:r>
              <w:rPr>
                <w:szCs w:val="24"/>
              </w:rPr>
              <w:t>Committee</w:t>
            </w:r>
          </w:p>
        </w:tc>
        <w:tc>
          <w:tcPr>
            <w:tcW w:w="2764" w:type="dxa"/>
          </w:tcPr>
          <w:p w14:paraId="0B0B7625" w14:textId="7532A6C4" w:rsidR="00A140C0" w:rsidRDefault="00A140C0" w:rsidP="00720A8D">
            <w:pPr>
              <w:rPr>
                <w:szCs w:val="24"/>
              </w:rPr>
            </w:pPr>
            <w:r>
              <w:rPr>
                <w:szCs w:val="24"/>
              </w:rPr>
              <w:t>Clive Grunshaw, Police and Crime Commissioner, Angela Harrison</w:t>
            </w:r>
          </w:p>
        </w:tc>
        <w:tc>
          <w:tcPr>
            <w:tcW w:w="1735" w:type="dxa"/>
          </w:tcPr>
          <w:p w14:paraId="51C02B27" w14:textId="1CCA5438" w:rsidR="00A140C0" w:rsidRPr="009D136D" w:rsidRDefault="009D136D" w:rsidP="00720A8D">
            <w:pPr>
              <w:rPr>
                <w:color w:val="FF0000"/>
                <w:szCs w:val="24"/>
              </w:rPr>
            </w:pPr>
            <w:r>
              <w:rPr>
                <w:color w:val="FF0000"/>
                <w:szCs w:val="24"/>
              </w:rPr>
              <w:t>tbc</w:t>
            </w:r>
          </w:p>
        </w:tc>
        <w:tc>
          <w:tcPr>
            <w:tcW w:w="2388" w:type="dxa"/>
          </w:tcPr>
          <w:p w14:paraId="54445C78" w14:textId="77777777" w:rsidR="00A140C0" w:rsidRDefault="00A140C0" w:rsidP="00720A8D">
            <w:pPr>
              <w:rPr>
                <w:szCs w:val="24"/>
              </w:rPr>
            </w:pPr>
          </w:p>
        </w:tc>
        <w:tc>
          <w:tcPr>
            <w:tcW w:w="1631" w:type="dxa"/>
          </w:tcPr>
          <w:p w14:paraId="5D9C579C" w14:textId="77777777" w:rsidR="00A140C0" w:rsidRDefault="00A140C0" w:rsidP="00720A8D">
            <w:pPr>
              <w:rPr>
                <w:szCs w:val="24"/>
              </w:rPr>
            </w:pPr>
          </w:p>
        </w:tc>
      </w:tr>
      <w:tr w:rsidR="00D05245" w14:paraId="4C2FFA75" w14:textId="77777777" w:rsidTr="004D3145">
        <w:trPr>
          <w:trHeight w:val="510"/>
        </w:trPr>
        <w:tc>
          <w:tcPr>
            <w:tcW w:w="1737" w:type="dxa"/>
          </w:tcPr>
          <w:p w14:paraId="4644E7E9" w14:textId="77777777" w:rsidR="00C00DB1" w:rsidRDefault="00C00DB1" w:rsidP="004A4E1B">
            <w:pPr>
              <w:rPr>
                <w:szCs w:val="24"/>
              </w:rPr>
            </w:pPr>
            <w:r>
              <w:rPr>
                <w:szCs w:val="24"/>
              </w:rPr>
              <w:t>Transport for the North (</w:t>
            </w:r>
            <w:proofErr w:type="spellStart"/>
            <w:r>
              <w:rPr>
                <w:szCs w:val="24"/>
              </w:rPr>
              <w:t>TfN</w:t>
            </w:r>
            <w:proofErr w:type="spellEnd"/>
            <w:r>
              <w:rPr>
                <w:szCs w:val="24"/>
              </w:rPr>
              <w:t>)</w:t>
            </w:r>
          </w:p>
          <w:p w14:paraId="5C81B507" w14:textId="77777777" w:rsidR="00C00DB1" w:rsidRDefault="00C00DB1" w:rsidP="004A4E1B">
            <w:pPr>
              <w:rPr>
                <w:szCs w:val="24"/>
              </w:rPr>
            </w:pPr>
          </w:p>
        </w:tc>
        <w:tc>
          <w:tcPr>
            <w:tcW w:w="2957" w:type="dxa"/>
          </w:tcPr>
          <w:p w14:paraId="141C337C" w14:textId="77777777" w:rsidR="00C01101" w:rsidRDefault="00E53C64" w:rsidP="00C01101">
            <w:pPr>
              <w:pStyle w:val="ListParagraph"/>
              <w:numPr>
                <w:ilvl w:val="0"/>
                <w:numId w:val="11"/>
              </w:numPr>
              <w:rPr>
                <w:szCs w:val="24"/>
              </w:rPr>
            </w:pPr>
            <w:r w:rsidRPr="00C01101">
              <w:rPr>
                <w:szCs w:val="24"/>
              </w:rPr>
              <w:t xml:space="preserve">Revised </w:t>
            </w:r>
            <w:r w:rsidR="00C00DB1" w:rsidRPr="00C01101">
              <w:rPr>
                <w:szCs w:val="24"/>
              </w:rPr>
              <w:t>Strategic Transport Plan</w:t>
            </w:r>
            <w:r w:rsidR="00C01101">
              <w:rPr>
                <w:szCs w:val="24"/>
              </w:rPr>
              <w:t xml:space="preserve"> (STP)</w:t>
            </w:r>
          </w:p>
          <w:p w14:paraId="74D6E092" w14:textId="77777777" w:rsidR="00C00DB1" w:rsidRDefault="00E53C64" w:rsidP="00C01101">
            <w:pPr>
              <w:pStyle w:val="ListParagraph"/>
              <w:numPr>
                <w:ilvl w:val="0"/>
                <w:numId w:val="11"/>
              </w:numPr>
              <w:rPr>
                <w:szCs w:val="24"/>
              </w:rPr>
            </w:pPr>
            <w:r w:rsidRPr="00C01101">
              <w:rPr>
                <w:szCs w:val="24"/>
              </w:rPr>
              <w:t>Investment Programme</w:t>
            </w:r>
          </w:p>
          <w:p w14:paraId="770AB025" w14:textId="75827616" w:rsidR="00C01101" w:rsidRPr="00C01101" w:rsidRDefault="00F11635" w:rsidP="00C01101">
            <w:pPr>
              <w:pStyle w:val="ListParagraph"/>
              <w:numPr>
                <w:ilvl w:val="0"/>
                <w:numId w:val="11"/>
              </w:numPr>
              <w:rPr>
                <w:szCs w:val="24"/>
              </w:rPr>
            </w:pPr>
            <w:hyperlink r:id="rId8" w:history="1">
              <w:r w:rsidR="00C01101" w:rsidRPr="00773C43">
                <w:rPr>
                  <w:rStyle w:val="Hyperlink"/>
                  <w:szCs w:val="24"/>
                </w:rPr>
                <w:t>Central Pennines Corridor</w:t>
              </w:r>
            </w:hyperlink>
          </w:p>
        </w:tc>
        <w:tc>
          <w:tcPr>
            <w:tcW w:w="1956" w:type="dxa"/>
          </w:tcPr>
          <w:p w14:paraId="70147D24" w14:textId="77777777" w:rsidR="00C00DB1" w:rsidRDefault="00C00DB1" w:rsidP="004A4E1B">
            <w:pPr>
              <w:rPr>
                <w:szCs w:val="24"/>
              </w:rPr>
            </w:pPr>
            <w:r>
              <w:rPr>
                <w:szCs w:val="24"/>
              </w:rPr>
              <w:lastRenderedPageBreak/>
              <w:t>Committee</w:t>
            </w:r>
          </w:p>
        </w:tc>
        <w:tc>
          <w:tcPr>
            <w:tcW w:w="2764" w:type="dxa"/>
          </w:tcPr>
          <w:p w14:paraId="5D11B81A" w14:textId="2B03E6F9" w:rsidR="00C00DB1" w:rsidRDefault="00C01101" w:rsidP="00C01101">
            <w:pPr>
              <w:rPr>
                <w:szCs w:val="24"/>
              </w:rPr>
            </w:pPr>
            <w:r>
              <w:rPr>
                <w:szCs w:val="24"/>
              </w:rPr>
              <w:t xml:space="preserve">Robin Miller-Stott, Jonathan Spruce and Owen Wilson, </w:t>
            </w:r>
            <w:proofErr w:type="spellStart"/>
            <w:r w:rsidR="00C00DB1">
              <w:rPr>
                <w:szCs w:val="24"/>
              </w:rPr>
              <w:t>TfN</w:t>
            </w:r>
            <w:proofErr w:type="spellEnd"/>
            <w:r w:rsidR="00E10F20">
              <w:rPr>
                <w:szCs w:val="24"/>
              </w:rPr>
              <w:t xml:space="preserve"> </w:t>
            </w:r>
            <w:r w:rsidR="00E53C64">
              <w:rPr>
                <w:szCs w:val="24"/>
              </w:rPr>
              <w:t>(</w:t>
            </w:r>
            <w:r w:rsidR="00E10F20">
              <w:rPr>
                <w:szCs w:val="24"/>
              </w:rPr>
              <w:t xml:space="preserve">and </w:t>
            </w:r>
            <w:r w:rsidR="00E53C64">
              <w:rPr>
                <w:szCs w:val="24"/>
              </w:rPr>
              <w:t xml:space="preserve">delivery partners – Highways England, HS2, </w:t>
            </w:r>
            <w:r w:rsidR="00E10F20">
              <w:rPr>
                <w:szCs w:val="24"/>
              </w:rPr>
              <w:t>Network Rail?</w:t>
            </w:r>
            <w:r w:rsidR="00E53C64">
              <w:rPr>
                <w:szCs w:val="24"/>
              </w:rPr>
              <w:t>)</w:t>
            </w:r>
          </w:p>
        </w:tc>
        <w:tc>
          <w:tcPr>
            <w:tcW w:w="1735" w:type="dxa"/>
          </w:tcPr>
          <w:p w14:paraId="0BD09830" w14:textId="4FC09D3F" w:rsidR="00C00DB1" w:rsidRDefault="00963A8E" w:rsidP="004A4E1B">
            <w:pPr>
              <w:rPr>
                <w:szCs w:val="24"/>
              </w:rPr>
            </w:pPr>
            <w:r>
              <w:rPr>
                <w:szCs w:val="24"/>
              </w:rPr>
              <w:t xml:space="preserve">16 April </w:t>
            </w:r>
            <w:r w:rsidR="00E97F6E">
              <w:rPr>
                <w:szCs w:val="24"/>
              </w:rPr>
              <w:t>2019</w:t>
            </w:r>
          </w:p>
        </w:tc>
        <w:tc>
          <w:tcPr>
            <w:tcW w:w="2388" w:type="dxa"/>
          </w:tcPr>
          <w:p w14:paraId="5C6B1BA3" w14:textId="77777777" w:rsidR="00C00DB1" w:rsidRDefault="00C00DB1" w:rsidP="004A4E1B">
            <w:pPr>
              <w:rPr>
                <w:szCs w:val="24"/>
              </w:rPr>
            </w:pPr>
          </w:p>
        </w:tc>
        <w:tc>
          <w:tcPr>
            <w:tcW w:w="1631" w:type="dxa"/>
          </w:tcPr>
          <w:p w14:paraId="141030E2" w14:textId="77777777" w:rsidR="00C00DB1" w:rsidRDefault="00C00DB1" w:rsidP="004A4E1B">
            <w:pPr>
              <w:rPr>
                <w:szCs w:val="24"/>
              </w:rPr>
            </w:pPr>
          </w:p>
        </w:tc>
      </w:tr>
      <w:tr w:rsidR="004D3145" w14:paraId="07944B3E" w14:textId="77777777" w:rsidTr="004D3145">
        <w:trPr>
          <w:trHeight w:val="510"/>
        </w:trPr>
        <w:tc>
          <w:tcPr>
            <w:tcW w:w="1737" w:type="dxa"/>
          </w:tcPr>
          <w:p w14:paraId="319E1DBD" w14:textId="77777777" w:rsidR="004D3145" w:rsidRDefault="004D3145" w:rsidP="00F22B62">
            <w:pPr>
              <w:rPr>
                <w:szCs w:val="24"/>
              </w:rPr>
            </w:pPr>
            <w:r>
              <w:rPr>
                <w:szCs w:val="24"/>
              </w:rPr>
              <w:t>Lancashire Enterprise Partnership (LEP)</w:t>
            </w:r>
          </w:p>
          <w:p w14:paraId="19E7B9EC" w14:textId="77777777" w:rsidR="004D3145" w:rsidRDefault="004D3145" w:rsidP="00F22B62">
            <w:pPr>
              <w:rPr>
                <w:szCs w:val="24"/>
              </w:rPr>
            </w:pPr>
          </w:p>
        </w:tc>
        <w:tc>
          <w:tcPr>
            <w:tcW w:w="2957" w:type="dxa"/>
          </w:tcPr>
          <w:p w14:paraId="69D4598A" w14:textId="77777777" w:rsidR="004D3145" w:rsidRDefault="004D3145" w:rsidP="00F22B62">
            <w:pPr>
              <w:rPr>
                <w:szCs w:val="24"/>
              </w:rPr>
            </w:pPr>
            <w:r>
              <w:rPr>
                <w:szCs w:val="24"/>
              </w:rPr>
              <w:t>tbc</w:t>
            </w:r>
          </w:p>
        </w:tc>
        <w:tc>
          <w:tcPr>
            <w:tcW w:w="1956" w:type="dxa"/>
          </w:tcPr>
          <w:p w14:paraId="127BF5ED" w14:textId="77777777" w:rsidR="004D3145" w:rsidRDefault="004D3145" w:rsidP="00F22B62">
            <w:pPr>
              <w:rPr>
                <w:szCs w:val="24"/>
              </w:rPr>
            </w:pPr>
            <w:r>
              <w:rPr>
                <w:szCs w:val="24"/>
              </w:rPr>
              <w:t>Committee</w:t>
            </w:r>
          </w:p>
        </w:tc>
        <w:tc>
          <w:tcPr>
            <w:tcW w:w="2764" w:type="dxa"/>
          </w:tcPr>
          <w:p w14:paraId="38964310" w14:textId="77777777" w:rsidR="004D3145" w:rsidRDefault="004D3145" w:rsidP="00F22B62">
            <w:pPr>
              <w:rPr>
                <w:szCs w:val="24"/>
              </w:rPr>
            </w:pPr>
            <w:r>
              <w:rPr>
                <w:szCs w:val="24"/>
              </w:rPr>
              <w:t>Richard Kenny</w:t>
            </w:r>
          </w:p>
        </w:tc>
        <w:tc>
          <w:tcPr>
            <w:tcW w:w="1735" w:type="dxa"/>
          </w:tcPr>
          <w:p w14:paraId="77979EF7" w14:textId="77777777" w:rsidR="004D3145" w:rsidRPr="00AF1A9A" w:rsidRDefault="004D3145" w:rsidP="00F22B62">
            <w:pPr>
              <w:rPr>
                <w:color w:val="FF0000"/>
                <w:szCs w:val="24"/>
              </w:rPr>
            </w:pPr>
            <w:r w:rsidRPr="00AF1A9A">
              <w:rPr>
                <w:color w:val="FF0000"/>
                <w:szCs w:val="24"/>
              </w:rPr>
              <w:t>16 April 2019?</w:t>
            </w:r>
          </w:p>
        </w:tc>
        <w:tc>
          <w:tcPr>
            <w:tcW w:w="2388" w:type="dxa"/>
          </w:tcPr>
          <w:p w14:paraId="0EBA67FD" w14:textId="77777777" w:rsidR="004D3145" w:rsidRDefault="004D3145" w:rsidP="00F22B62">
            <w:pPr>
              <w:rPr>
                <w:szCs w:val="24"/>
              </w:rPr>
            </w:pPr>
          </w:p>
        </w:tc>
        <w:tc>
          <w:tcPr>
            <w:tcW w:w="1631" w:type="dxa"/>
          </w:tcPr>
          <w:p w14:paraId="20340AF0" w14:textId="77777777" w:rsidR="004D3145" w:rsidRDefault="004D3145" w:rsidP="00F22B62">
            <w:pPr>
              <w:rPr>
                <w:szCs w:val="24"/>
              </w:rPr>
            </w:pPr>
          </w:p>
        </w:tc>
      </w:tr>
      <w:tr w:rsidR="00D05245" w14:paraId="6EE76F1D" w14:textId="77777777" w:rsidTr="004D3145">
        <w:trPr>
          <w:trHeight w:val="510"/>
        </w:trPr>
        <w:tc>
          <w:tcPr>
            <w:tcW w:w="1737" w:type="dxa"/>
          </w:tcPr>
          <w:p w14:paraId="41C7C6FD" w14:textId="4741D811" w:rsidR="00DE680E" w:rsidRDefault="00DE680E" w:rsidP="004A4E1B">
            <w:pPr>
              <w:rPr>
                <w:szCs w:val="24"/>
              </w:rPr>
            </w:pPr>
            <w:bookmarkStart w:id="0" w:name="_GoBack"/>
            <w:bookmarkEnd w:id="0"/>
            <w:r>
              <w:rPr>
                <w:szCs w:val="24"/>
              </w:rPr>
              <w:t xml:space="preserve">LCC </w:t>
            </w:r>
            <w:r w:rsidR="00952763">
              <w:rPr>
                <w:szCs w:val="24"/>
              </w:rPr>
              <w:t xml:space="preserve">Internal </w:t>
            </w:r>
            <w:r>
              <w:rPr>
                <w:szCs w:val="24"/>
              </w:rPr>
              <w:t xml:space="preserve">Energy </w:t>
            </w:r>
            <w:r w:rsidR="00952763">
              <w:rPr>
                <w:szCs w:val="24"/>
              </w:rPr>
              <w:t xml:space="preserve">and Water Management </w:t>
            </w:r>
            <w:r>
              <w:rPr>
                <w:szCs w:val="24"/>
              </w:rPr>
              <w:t xml:space="preserve">Policy </w:t>
            </w:r>
          </w:p>
        </w:tc>
        <w:tc>
          <w:tcPr>
            <w:tcW w:w="2957" w:type="dxa"/>
          </w:tcPr>
          <w:p w14:paraId="2829B725" w14:textId="51A2799A" w:rsidR="00DE680E" w:rsidRPr="00DE680E" w:rsidRDefault="00DE680E" w:rsidP="00DE680E">
            <w:pPr>
              <w:rPr>
                <w:szCs w:val="24"/>
              </w:rPr>
            </w:pPr>
            <w:r>
              <w:rPr>
                <w:szCs w:val="24"/>
              </w:rPr>
              <w:t>Policy development</w:t>
            </w:r>
          </w:p>
        </w:tc>
        <w:tc>
          <w:tcPr>
            <w:tcW w:w="1956" w:type="dxa"/>
          </w:tcPr>
          <w:p w14:paraId="6363DB1C" w14:textId="611FDEBD" w:rsidR="00DE680E" w:rsidRDefault="00DE680E" w:rsidP="004A4E1B">
            <w:pPr>
              <w:rPr>
                <w:szCs w:val="24"/>
              </w:rPr>
            </w:pPr>
            <w:r>
              <w:rPr>
                <w:szCs w:val="24"/>
              </w:rPr>
              <w:t>Committee</w:t>
            </w:r>
          </w:p>
        </w:tc>
        <w:tc>
          <w:tcPr>
            <w:tcW w:w="2764" w:type="dxa"/>
          </w:tcPr>
          <w:p w14:paraId="08D9A4C1" w14:textId="07FECE00" w:rsidR="00DE680E" w:rsidRDefault="00DE680E" w:rsidP="00C01101">
            <w:pPr>
              <w:rPr>
                <w:szCs w:val="24"/>
              </w:rPr>
            </w:pPr>
            <w:r>
              <w:rPr>
                <w:szCs w:val="24"/>
              </w:rPr>
              <w:t>Denise Jepson, LCC, Electricity North West, Lancashire Renewables (CEO), Npower, Total Gas and Power, Heat network</w:t>
            </w:r>
          </w:p>
        </w:tc>
        <w:tc>
          <w:tcPr>
            <w:tcW w:w="1735" w:type="dxa"/>
          </w:tcPr>
          <w:p w14:paraId="209242F4" w14:textId="578F4F7A" w:rsidR="00DE680E" w:rsidRPr="004D3145" w:rsidRDefault="004D3145" w:rsidP="004A4E1B">
            <w:pPr>
              <w:rPr>
                <w:szCs w:val="24"/>
              </w:rPr>
            </w:pPr>
            <w:r w:rsidRPr="004D3145">
              <w:rPr>
                <w:szCs w:val="24"/>
              </w:rPr>
              <w:t xml:space="preserve">16 </w:t>
            </w:r>
            <w:r>
              <w:rPr>
                <w:szCs w:val="24"/>
              </w:rPr>
              <w:t>July 2019</w:t>
            </w:r>
          </w:p>
        </w:tc>
        <w:tc>
          <w:tcPr>
            <w:tcW w:w="2388" w:type="dxa"/>
          </w:tcPr>
          <w:p w14:paraId="261F3F04" w14:textId="77777777" w:rsidR="00DE680E" w:rsidRDefault="00DE680E" w:rsidP="004A4E1B">
            <w:pPr>
              <w:rPr>
                <w:szCs w:val="24"/>
              </w:rPr>
            </w:pPr>
          </w:p>
        </w:tc>
        <w:tc>
          <w:tcPr>
            <w:tcW w:w="1631" w:type="dxa"/>
          </w:tcPr>
          <w:p w14:paraId="17C15505" w14:textId="77777777" w:rsidR="00DE680E" w:rsidRDefault="00DE680E" w:rsidP="004A4E1B">
            <w:pPr>
              <w:rPr>
                <w:szCs w:val="24"/>
              </w:rPr>
            </w:pPr>
          </w:p>
        </w:tc>
      </w:tr>
      <w:tr w:rsidR="00D05245" w14:paraId="61D3DA75" w14:textId="77777777" w:rsidTr="004D3145">
        <w:trPr>
          <w:trHeight w:val="510"/>
        </w:trPr>
        <w:tc>
          <w:tcPr>
            <w:tcW w:w="1737" w:type="dxa"/>
            <w:shd w:val="clear" w:color="auto" w:fill="D9D9D9" w:themeFill="background1" w:themeFillShade="D9"/>
          </w:tcPr>
          <w:p w14:paraId="574539E1" w14:textId="17709459" w:rsidR="008D7A97" w:rsidRDefault="008D7A97" w:rsidP="004A4E1B">
            <w:pPr>
              <w:rPr>
                <w:szCs w:val="24"/>
              </w:rPr>
            </w:pPr>
            <w:r>
              <w:rPr>
                <w:szCs w:val="24"/>
              </w:rPr>
              <w:t>Task and finish groups</w:t>
            </w:r>
          </w:p>
        </w:tc>
        <w:tc>
          <w:tcPr>
            <w:tcW w:w="2957" w:type="dxa"/>
            <w:shd w:val="clear" w:color="auto" w:fill="D9D9D9" w:themeFill="background1" w:themeFillShade="D9"/>
          </w:tcPr>
          <w:p w14:paraId="15CA3F8A" w14:textId="77777777" w:rsidR="008D7A97" w:rsidRDefault="008D7A97" w:rsidP="004A4E1B">
            <w:pPr>
              <w:rPr>
                <w:szCs w:val="24"/>
              </w:rPr>
            </w:pPr>
          </w:p>
        </w:tc>
        <w:tc>
          <w:tcPr>
            <w:tcW w:w="1956" w:type="dxa"/>
            <w:shd w:val="clear" w:color="auto" w:fill="D9D9D9" w:themeFill="background1" w:themeFillShade="D9"/>
          </w:tcPr>
          <w:p w14:paraId="0AF4509A" w14:textId="77777777" w:rsidR="008D7A97" w:rsidRDefault="008D7A97" w:rsidP="004A4E1B">
            <w:pPr>
              <w:rPr>
                <w:szCs w:val="24"/>
              </w:rPr>
            </w:pPr>
          </w:p>
        </w:tc>
        <w:tc>
          <w:tcPr>
            <w:tcW w:w="2764" w:type="dxa"/>
            <w:shd w:val="clear" w:color="auto" w:fill="D9D9D9" w:themeFill="background1" w:themeFillShade="D9"/>
          </w:tcPr>
          <w:p w14:paraId="59C4D1A6" w14:textId="77777777" w:rsidR="008D7A97" w:rsidRDefault="008D7A97" w:rsidP="004A4E1B">
            <w:pPr>
              <w:rPr>
                <w:szCs w:val="24"/>
              </w:rPr>
            </w:pPr>
          </w:p>
        </w:tc>
        <w:tc>
          <w:tcPr>
            <w:tcW w:w="1735" w:type="dxa"/>
            <w:shd w:val="clear" w:color="auto" w:fill="D9D9D9" w:themeFill="background1" w:themeFillShade="D9"/>
          </w:tcPr>
          <w:p w14:paraId="6EABC5DD" w14:textId="77777777" w:rsidR="008D7A97" w:rsidRDefault="008D7A97" w:rsidP="004A4E1B">
            <w:pPr>
              <w:rPr>
                <w:szCs w:val="24"/>
              </w:rPr>
            </w:pPr>
          </w:p>
        </w:tc>
        <w:tc>
          <w:tcPr>
            <w:tcW w:w="2388" w:type="dxa"/>
            <w:shd w:val="clear" w:color="auto" w:fill="D9D9D9" w:themeFill="background1" w:themeFillShade="D9"/>
          </w:tcPr>
          <w:p w14:paraId="4ED29317" w14:textId="77777777" w:rsidR="008D7A97" w:rsidRDefault="008D7A97" w:rsidP="004A4E1B">
            <w:pPr>
              <w:rPr>
                <w:szCs w:val="24"/>
              </w:rPr>
            </w:pPr>
          </w:p>
        </w:tc>
        <w:tc>
          <w:tcPr>
            <w:tcW w:w="1631" w:type="dxa"/>
            <w:shd w:val="clear" w:color="auto" w:fill="D9D9D9" w:themeFill="background1" w:themeFillShade="D9"/>
          </w:tcPr>
          <w:p w14:paraId="7F61B118" w14:textId="77777777" w:rsidR="008D7A97" w:rsidRDefault="008D7A97" w:rsidP="004A4E1B">
            <w:pPr>
              <w:rPr>
                <w:szCs w:val="24"/>
              </w:rPr>
            </w:pPr>
          </w:p>
        </w:tc>
      </w:tr>
      <w:tr w:rsidR="00D05245" w:rsidRPr="00030E5F" w14:paraId="449475F9" w14:textId="77777777" w:rsidTr="004D3145">
        <w:trPr>
          <w:trHeight w:val="510"/>
        </w:trPr>
        <w:tc>
          <w:tcPr>
            <w:tcW w:w="1737" w:type="dxa"/>
          </w:tcPr>
          <w:p w14:paraId="639A4FC4" w14:textId="38ABD061" w:rsidR="008D7A97" w:rsidRPr="00030E5F" w:rsidRDefault="001A4534" w:rsidP="004A4E1B">
            <w:pPr>
              <w:rPr>
                <w:szCs w:val="24"/>
              </w:rPr>
            </w:pPr>
            <w:r>
              <w:t>Strengthening flood risk management</w:t>
            </w:r>
            <w:r w:rsidR="003F01DF" w:rsidRPr="00030E5F">
              <w:t xml:space="preserve"> and preparedness in Lancashire</w:t>
            </w:r>
          </w:p>
        </w:tc>
        <w:tc>
          <w:tcPr>
            <w:tcW w:w="2957" w:type="dxa"/>
          </w:tcPr>
          <w:p w14:paraId="5BCC88B0" w14:textId="77777777" w:rsidR="003F01DF" w:rsidRPr="00030E5F" w:rsidRDefault="003F01DF" w:rsidP="003F01DF">
            <w:pPr>
              <w:snapToGrid w:val="0"/>
              <w:rPr>
                <w:rFonts w:eastAsia="Times New Roman"/>
              </w:rPr>
            </w:pPr>
            <w:r w:rsidRPr="00030E5F">
              <w:rPr>
                <w:rFonts w:eastAsia="Times New Roman"/>
              </w:rPr>
              <w:t>to bring together the expertise of all flood risk management authorities, local flood and emergency response groups, and residents to better understand how the County Council as Lead Local Flood Authority and all other flood risk management authorities can better support residents to:</w:t>
            </w:r>
          </w:p>
          <w:p w14:paraId="50A4AE10" w14:textId="77777777" w:rsidR="003F01DF" w:rsidRPr="00030E5F" w:rsidRDefault="003F01DF" w:rsidP="003F01DF">
            <w:pPr>
              <w:snapToGrid w:val="0"/>
              <w:rPr>
                <w:rFonts w:eastAsia="Times New Roman"/>
              </w:rPr>
            </w:pPr>
          </w:p>
          <w:p w14:paraId="58B68BC1" w14:textId="77777777" w:rsidR="003F01DF" w:rsidRPr="00030E5F" w:rsidRDefault="003F01DF" w:rsidP="003F01DF">
            <w:pPr>
              <w:snapToGrid w:val="0"/>
              <w:rPr>
                <w:rFonts w:eastAsia="Times New Roman"/>
              </w:rPr>
            </w:pPr>
            <w:r w:rsidRPr="00030E5F">
              <w:rPr>
                <w:rFonts w:eastAsia="Times New Roman"/>
              </w:rPr>
              <w:t>- be prepared for flooding;</w:t>
            </w:r>
          </w:p>
          <w:p w14:paraId="6E1C5330" w14:textId="77777777" w:rsidR="003F01DF" w:rsidRPr="00030E5F" w:rsidRDefault="003F01DF" w:rsidP="003F01DF">
            <w:pPr>
              <w:snapToGrid w:val="0"/>
              <w:rPr>
                <w:rFonts w:eastAsia="Times New Roman"/>
              </w:rPr>
            </w:pPr>
            <w:r w:rsidRPr="00030E5F">
              <w:rPr>
                <w:rFonts w:eastAsia="Times New Roman"/>
              </w:rPr>
              <w:lastRenderedPageBreak/>
              <w:t>- respond to flooding;</w:t>
            </w:r>
          </w:p>
          <w:p w14:paraId="4FB03DBD" w14:textId="77777777" w:rsidR="003F01DF" w:rsidRPr="00030E5F" w:rsidRDefault="003F01DF" w:rsidP="003F01DF">
            <w:pPr>
              <w:snapToGrid w:val="0"/>
              <w:rPr>
                <w:rFonts w:eastAsia="Times New Roman"/>
              </w:rPr>
            </w:pPr>
            <w:r w:rsidRPr="00030E5F">
              <w:rPr>
                <w:rFonts w:eastAsia="Times New Roman"/>
              </w:rPr>
              <w:t>- recover from flooding; and</w:t>
            </w:r>
          </w:p>
          <w:p w14:paraId="373D6BAE" w14:textId="77777777" w:rsidR="003F01DF" w:rsidRPr="00030E5F" w:rsidRDefault="003F01DF" w:rsidP="003F01DF">
            <w:pPr>
              <w:snapToGrid w:val="0"/>
              <w:rPr>
                <w:rFonts w:eastAsia="Times New Roman"/>
              </w:rPr>
            </w:pPr>
            <w:r w:rsidRPr="00030E5F">
              <w:rPr>
                <w:rFonts w:eastAsia="Times New Roman"/>
              </w:rPr>
              <w:t>- understand what we can do together to reduce flood risk.</w:t>
            </w:r>
          </w:p>
          <w:p w14:paraId="31F303A5" w14:textId="77777777" w:rsidR="008D7A97" w:rsidRPr="00030E5F" w:rsidRDefault="008D7A97" w:rsidP="004A4E1B">
            <w:pPr>
              <w:rPr>
                <w:szCs w:val="24"/>
              </w:rPr>
            </w:pPr>
          </w:p>
        </w:tc>
        <w:tc>
          <w:tcPr>
            <w:tcW w:w="1956" w:type="dxa"/>
          </w:tcPr>
          <w:p w14:paraId="52DFAAEE" w14:textId="4A58BAE4" w:rsidR="008D7A97" w:rsidRPr="00030E5F" w:rsidRDefault="003F01DF" w:rsidP="004A4E1B">
            <w:pPr>
              <w:rPr>
                <w:szCs w:val="24"/>
              </w:rPr>
            </w:pPr>
            <w:r w:rsidRPr="00030E5F">
              <w:rPr>
                <w:szCs w:val="24"/>
              </w:rPr>
              <w:lastRenderedPageBreak/>
              <w:t>Task and finish group</w:t>
            </w:r>
          </w:p>
        </w:tc>
        <w:tc>
          <w:tcPr>
            <w:tcW w:w="2764" w:type="dxa"/>
          </w:tcPr>
          <w:p w14:paraId="69AD4C11" w14:textId="21C68F78" w:rsidR="008D7A97" w:rsidRPr="00030E5F" w:rsidRDefault="003F01DF" w:rsidP="004A4E1B">
            <w:pPr>
              <w:rPr>
                <w:szCs w:val="24"/>
              </w:rPr>
            </w:pPr>
            <w:r w:rsidRPr="00030E5F">
              <w:rPr>
                <w:szCs w:val="24"/>
              </w:rPr>
              <w:t>LCC, Environment Agency, United Utilities, Flood action groups</w:t>
            </w:r>
          </w:p>
        </w:tc>
        <w:tc>
          <w:tcPr>
            <w:tcW w:w="1735" w:type="dxa"/>
          </w:tcPr>
          <w:p w14:paraId="384C1FB0" w14:textId="399917D0" w:rsidR="008D7A97" w:rsidRPr="00030E5F" w:rsidRDefault="004D3145" w:rsidP="004A4E1B">
            <w:pPr>
              <w:rPr>
                <w:szCs w:val="24"/>
              </w:rPr>
            </w:pPr>
            <w:r>
              <w:rPr>
                <w:szCs w:val="24"/>
              </w:rPr>
              <w:t>Task and finish group report presented at 15 October 2019 meeting</w:t>
            </w:r>
          </w:p>
        </w:tc>
        <w:tc>
          <w:tcPr>
            <w:tcW w:w="2388" w:type="dxa"/>
          </w:tcPr>
          <w:p w14:paraId="5B6871E9" w14:textId="77777777" w:rsidR="008D7A97" w:rsidRPr="00030E5F" w:rsidRDefault="008D7A97" w:rsidP="004A4E1B">
            <w:pPr>
              <w:rPr>
                <w:szCs w:val="24"/>
              </w:rPr>
            </w:pPr>
          </w:p>
        </w:tc>
        <w:tc>
          <w:tcPr>
            <w:tcW w:w="1631" w:type="dxa"/>
          </w:tcPr>
          <w:p w14:paraId="50E6E2B7" w14:textId="77777777" w:rsidR="008D7A97" w:rsidRPr="00030E5F" w:rsidRDefault="008D7A97" w:rsidP="004A4E1B">
            <w:pPr>
              <w:rPr>
                <w:szCs w:val="24"/>
              </w:rPr>
            </w:pPr>
          </w:p>
        </w:tc>
      </w:tr>
      <w:tr w:rsidR="00D05245" w14:paraId="3F48D38A" w14:textId="77777777" w:rsidTr="004D3145">
        <w:trPr>
          <w:trHeight w:val="343"/>
        </w:trPr>
        <w:tc>
          <w:tcPr>
            <w:tcW w:w="1737" w:type="dxa"/>
            <w:shd w:val="clear" w:color="auto" w:fill="D9D9D9" w:themeFill="background1" w:themeFillShade="D9"/>
          </w:tcPr>
          <w:p w14:paraId="644F45FA" w14:textId="67E81C3D" w:rsidR="008D7A97" w:rsidRDefault="008D7A97" w:rsidP="004A4E1B">
            <w:pPr>
              <w:rPr>
                <w:szCs w:val="24"/>
              </w:rPr>
            </w:pPr>
            <w:r>
              <w:rPr>
                <w:szCs w:val="24"/>
              </w:rPr>
              <w:t>Rapporteurs</w:t>
            </w:r>
          </w:p>
        </w:tc>
        <w:tc>
          <w:tcPr>
            <w:tcW w:w="2957" w:type="dxa"/>
            <w:shd w:val="clear" w:color="auto" w:fill="D9D9D9" w:themeFill="background1" w:themeFillShade="D9"/>
          </w:tcPr>
          <w:p w14:paraId="503C6A5A" w14:textId="77777777" w:rsidR="008D7A97" w:rsidRDefault="008D7A97" w:rsidP="004A4E1B">
            <w:pPr>
              <w:rPr>
                <w:szCs w:val="24"/>
              </w:rPr>
            </w:pPr>
          </w:p>
        </w:tc>
        <w:tc>
          <w:tcPr>
            <w:tcW w:w="1956" w:type="dxa"/>
            <w:shd w:val="clear" w:color="auto" w:fill="D9D9D9" w:themeFill="background1" w:themeFillShade="D9"/>
          </w:tcPr>
          <w:p w14:paraId="38C8D311" w14:textId="77777777" w:rsidR="008D7A97" w:rsidRDefault="008D7A97" w:rsidP="004A4E1B">
            <w:pPr>
              <w:rPr>
                <w:szCs w:val="24"/>
              </w:rPr>
            </w:pPr>
          </w:p>
        </w:tc>
        <w:tc>
          <w:tcPr>
            <w:tcW w:w="2764" w:type="dxa"/>
            <w:shd w:val="clear" w:color="auto" w:fill="D9D9D9" w:themeFill="background1" w:themeFillShade="D9"/>
          </w:tcPr>
          <w:p w14:paraId="0B55FAE3" w14:textId="77777777" w:rsidR="008D7A97" w:rsidRDefault="008D7A97" w:rsidP="004A4E1B">
            <w:pPr>
              <w:rPr>
                <w:szCs w:val="24"/>
              </w:rPr>
            </w:pPr>
          </w:p>
        </w:tc>
        <w:tc>
          <w:tcPr>
            <w:tcW w:w="1735" w:type="dxa"/>
            <w:shd w:val="clear" w:color="auto" w:fill="D9D9D9" w:themeFill="background1" w:themeFillShade="D9"/>
          </w:tcPr>
          <w:p w14:paraId="7C86836B" w14:textId="77777777" w:rsidR="008D7A97" w:rsidRDefault="008D7A97" w:rsidP="004A4E1B">
            <w:pPr>
              <w:rPr>
                <w:szCs w:val="24"/>
              </w:rPr>
            </w:pPr>
          </w:p>
        </w:tc>
        <w:tc>
          <w:tcPr>
            <w:tcW w:w="2388" w:type="dxa"/>
            <w:shd w:val="clear" w:color="auto" w:fill="D9D9D9" w:themeFill="background1" w:themeFillShade="D9"/>
          </w:tcPr>
          <w:p w14:paraId="4F6C9F79" w14:textId="77777777" w:rsidR="008D7A97" w:rsidRDefault="008D7A97" w:rsidP="004A4E1B">
            <w:pPr>
              <w:rPr>
                <w:szCs w:val="24"/>
              </w:rPr>
            </w:pPr>
          </w:p>
        </w:tc>
        <w:tc>
          <w:tcPr>
            <w:tcW w:w="1631" w:type="dxa"/>
            <w:shd w:val="clear" w:color="auto" w:fill="D9D9D9" w:themeFill="background1" w:themeFillShade="D9"/>
          </w:tcPr>
          <w:p w14:paraId="152ECBB0" w14:textId="77777777" w:rsidR="008D7A97" w:rsidRDefault="008D7A97" w:rsidP="004A4E1B">
            <w:pPr>
              <w:rPr>
                <w:szCs w:val="24"/>
              </w:rPr>
            </w:pPr>
          </w:p>
        </w:tc>
      </w:tr>
      <w:tr w:rsidR="00D05245" w14:paraId="603531E5" w14:textId="77777777" w:rsidTr="004D3145">
        <w:trPr>
          <w:trHeight w:val="510"/>
        </w:trPr>
        <w:tc>
          <w:tcPr>
            <w:tcW w:w="1737" w:type="dxa"/>
          </w:tcPr>
          <w:p w14:paraId="4E9A6A79" w14:textId="77777777" w:rsidR="00C00DB1" w:rsidRDefault="00C00DB1" w:rsidP="004A4E1B">
            <w:pPr>
              <w:rPr>
                <w:szCs w:val="24"/>
              </w:rPr>
            </w:pPr>
            <w:r>
              <w:rPr>
                <w:szCs w:val="24"/>
              </w:rPr>
              <w:t>Advanced Manufacturing</w:t>
            </w:r>
          </w:p>
          <w:p w14:paraId="14F377CE" w14:textId="77777777" w:rsidR="00C00DB1" w:rsidRDefault="00C00DB1" w:rsidP="004A4E1B">
            <w:pPr>
              <w:rPr>
                <w:szCs w:val="24"/>
              </w:rPr>
            </w:pPr>
          </w:p>
        </w:tc>
        <w:tc>
          <w:tcPr>
            <w:tcW w:w="2957" w:type="dxa"/>
          </w:tcPr>
          <w:p w14:paraId="5B47D720" w14:textId="77777777" w:rsidR="00C00DB1" w:rsidRDefault="00C00DB1" w:rsidP="004A4E1B">
            <w:pPr>
              <w:rPr>
                <w:szCs w:val="24"/>
              </w:rPr>
            </w:pPr>
            <w:r>
              <w:rPr>
                <w:szCs w:val="24"/>
              </w:rPr>
              <w:t>Impact of Brexit</w:t>
            </w:r>
          </w:p>
        </w:tc>
        <w:tc>
          <w:tcPr>
            <w:tcW w:w="1956" w:type="dxa"/>
          </w:tcPr>
          <w:p w14:paraId="6E14D6CA" w14:textId="77777777" w:rsidR="00C00DB1" w:rsidRDefault="00C00DB1" w:rsidP="004A4E1B">
            <w:pPr>
              <w:rPr>
                <w:szCs w:val="24"/>
              </w:rPr>
            </w:pPr>
            <w:r>
              <w:rPr>
                <w:szCs w:val="24"/>
              </w:rPr>
              <w:t>Rapporteur</w:t>
            </w:r>
            <w:r w:rsidR="00CC19C8">
              <w:rPr>
                <w:szCs w:val="24"/>
              </w:rPr>
              <w:t xml:space="preserve"> (CC C Crompton)</w:t>
            </w:r>
          </w:p>
        </w:tc>
        <w:tc>
          <w:tcPr>
            <w:tcW w:w="2764" w:type="dxa"/>
          </w:tcPr>
          <w:p w14:paraId="3081005D" w14:textId="77777777" w:rsidR="00C00DB1" w:rsidRDefault="00C00DB1" w:rsidP="004A4E1B">
            <w:pPr>
              <w:rPr>
                <w:szCs w:val="24"/>
              </w:rPr>
            </w:pPr>
            <w:r>
              <w:rPr>
                <w:szCs w:val="24"/>
              </w:rPr>
              <w:t>North West Aerospace Alliance, BAE, UCLAN Engineering Innovation Centre (EIC)</w:t>
            </w:r>
          </w:p>
          <w:p w14:paraId="5FF7C8B9" w14:textId="77777777" w:rsidR="00445F25" w:rsidRDefault="00445F25" w:rsidP="004A4E1B">
            <w:pPr>
              <w:rPr>
                <w:szCs w:val="24"/>
              </w:rPr>
            </w:pPr>
          </w:p>
        </w:tc>
        <w:tc>
          <w:tcPr>
            <w:tcW w:w="1735" w:type="dxa"/>
          </w:tcPr>
          <w:p w14:paraId="3FDC5259" w14:textId="42D0C839" w:rsidR="00C00DB1" w:rsidRDefault="00F20079" w:rsidP="004A4E1B">
            <w:pPr>
              <w:rPr>
                <w:szCs w:val="24"/>
              </w:rPr>
            </w:pPr>
            <w:r>
              <w:rPr>
                <w:szCs w:val="24"/>
              </w:rPr>
              <w:t>-</w:t>
            </w:r>
          </w:p>
        </w:tc>
        <w:tc>
          <w:tcPr>
            <w:tcW w:w="2388" w:type="dxa"/>
          </w:tcPr>
          <w:p w14:paraId="025004D1" w14:textId="77777777" w:rsidR="00C00DB1" w:rsidRDefault="00C00DB1" w:rsidP="004A4E1B">
            <w:pPr>
              <w:rPr>
                <w:szCs w:val="24"/>
              </w:rPr>
            </w:pPr>
          </w:p>
        </w:tc>
        <w:tc>
          <w:tcPr>
            <w:tcW w:w="1631" w:type="dxa"/>
          </w:tcPr>
          <w:p w14:paraId="52D5694B" w14:textId="77777777" w:rsidR="00C00DB1" w:rsidRDefault="00C00DB1" w:rsidP="004A4E1B">
            <w:pPr>
              <w:rPr>
                <w:szCs w:val="24"/>
              </w:rPr>
            </w:pPr>
          </w:p>
        </w:tc>
      </w:tr>
      <w:tr w:rsidR="00D05245" w14:paraId="79DEBA3B" w14:textId="77777777" w:rsidTr="004D3145">
        <w:trPr>
          <w:trHeight w:val="510"/>
        </w:trPr>
        <w:tc>
          <w:tcPr>
            <w:tcW w:w="1737" w:type="dxa"/>
          </w:tcPr>
          <w:p w14:paraId="73C81241" w14:textId="77777777" w:rsidR="00C00DB1" w:rsidRDefault="00C00DB1" w:rsidP="004A4E1B">
            <w:pPr>
              <w:rPr>
                <w:szCs w:val="24"/>
              </w:rPr>
            </w:pPr>
            <w:r>
              <w:rPr>
                <w:szCs w:val="24"/>
              </w:rPr>
              <w:t>Homes England</w:t>
            </w:r>
          </w:p>
          <w:p w14:paraId="5D712F50" w14:textId="77777777" w:rsidR="00C00DB1" w:rsidRDefault="00C00DB1" w:rsidP="004A4E1B">
            <w:pPr>
              <w:rPr>
                <w:szCs w:val="24"/>
              </w:rPr>
            </w:pPr>
          </w:p>
        </w:tc>
        <w:tc>
          <w:tcPr>
            <w:tcW w:w="2957" w:type="dxa"/>
          </w:tcPr>
          <w:p w14:paraId="5A30F8E3" w14:textId="77777777" w:rsidR="00C00DB1" w:rsidRDefault="00C00DB1" w:rsidP="004A4E1B">
            <w:pPr>
              <w:rPr>
                <w:szCs w:val="24"/>
              </w:rPr>
            </w:pPr>
            <w:r>
              <w:rPr>
                <w:szCs w:val="24"/>
              </w:rPr>
              <w:t>Unlocking brownfield sites across Lancashire</w:t>
            </w:r>
          </w:p>
        </w:tc>
        <w:tc>
          <w:tcPr>
            <w:tcW w:w="1956" w:type="dxa"/>
          </w:tcPr>
          <w:p w14:paraId="23C8FABA" w14:textId="77777777" w:rsidR="00C00DB1" w:rsidRDefault="00C00DB1" w:rsidP="004A4E1B">
            <w:pPr>
              <w:rPr>
                <w:szCs w:val="24"/>
              </w:rPr>
            </w:pPr>
            <w:r>
              <w:rPr>
                <w:szCs w:val="24"/>
              </w:rPr>
              <w:t>Rapporteur</w:t>
            </w:r>
            <w:r w:rsidR="00CC19C8">
              <w:rPr>
                <w:szCs w:val="24"/>
              </w:rPr>
              <w:t xml:space="preserve"> (CC A Ali)</w:t>
            </w:r>
          </w:p>
        </w:tc>
        <w:tc>
          <w:tcPr>
            <w:tcW w:w="2764" w:type="dxa"/>
          </w:tcPr>
          <w:p w14:paraId="70477860" w14:textId="77777777" w:rsidR="00C00DB1" w:rsidRDefault="00C00DB1" w:rsidP="004A4E1B">
            <w:pPr>
              <w:rPr>
                <w:szCs w:val="24"/>
              </w:rPr>
            </w:pPr>
            <w:r>
              <w:rPr>
                <w:szCs w:val="24"/>
              </w:rPr>
              <w:t>Homes England</w:t>
            </w:r>
          </w:p>
        </w:tc>
        <w:tc>
          <w:tcPr>
            <w:tcW w:w="1735" w:type="dxa"/>
          </w:tcPr>
          <w:p w14:paraId="00E1EDAB" w14:textId="5E9E0E45" w:rsidR="00C00DB1" w:rsidRDefault="00F20079" w:rsidP="004A4E1B">
            <w:pPr>
              <w:rPr>
                <w:szCs w:val="24"/>
              </w:rPr>
            </w:pPr>
            <w:r>
              <w:rPr>
                <w:szCs w:val="24"/>
              </w:rPr>
              <w:t>-</w:t>
            </w:r>
          </w:p>
        </w:tc>
        <w:tc>
          <w:tcPr>
            <w:tcW w:w="2388" w:type="dxa"/>
          </w:tcPr>
          <w:p w14:paraId="76677715" w14:textId="77777777" w:rsidR="00C00DB1" w:rsidRDefault="00C00DB1" w:rsidP="004A4E1B">
            <w:pPr>
              <w:rPr>
                <w:szCs w:val="24"/>
              </w:rPr>
            </w:pPr>
          </w:p>
        </w:tc>
        <w:tc>
          <w:tcPr>
            <w:tcW w:w="1631" w:type="dxa"/>
          </w:tcPr>
          <w:p w14:paraId="7A506925" w14:textId="77777777" w:rsidR="00C00DB1" w:rsidRDefault="00C00DB1" w:rsidP="004A4E1B">
            <w:pPr>
              <w:rPr>
                <w:szCs w:val="24"/>
              </w:rPr>
            </w:pPr>
          </w:p>
        </w:tc>
      </w:tr>
      <w:tr w:rsidR="00D05245" w14:paraId="58AAF689" w14:textId="77777777" w:rsidTr="004D3145">
        <w:trPr>
          <w:trHeight w:val="510"/>
        </w:trPr>
        <w:tc>
          <w:tcPr>
            <w:tcW w:w="1737" w:type="dxa"/>
          </w:tcPr>
          <w:p w14:paraId="015A57E5" w14:textId="4EC7E433" w:rsidR="00E53C64" w:rsidRDefault="00E53C64" w:rsidP="004A4E1B">
            <w:pPr>
              <w:rPr>
                <w:szCs w:val="24"/>
              </w:rPr>
            </w:pPr>
            <w:r>
              <w:rPr>
                <w:szCs w:val="24"/>
              </w:rPr>
              <w:t>Universal Credit</w:t>
            </w:r>
          </w:p>
        </w:tc>
        <w:tc>
          <w:tcPr>
            <w:tcW w:w="2957" w:type="dxa"/>
          </w:tcPr>
          <w:p w14:paraId="01EA9E19" w14:textId="17E7E0D0" w:rsidR="00E53C64" w:rsidRDefault="003F01DF" w:rsidP="003F01DF">
            <w:pPr>
              <w:rPr>
                <w:szCs w:val="24"/>
              </w:rPr>
            </w:pPr>
            <w:r w:rsidRPr="003F01DF">
              <w:rPr>
                <w:szCs w:val="24"/>
              </w:rPr>
              <w:t>Bite s</w:t>
            </w:r>
            <w:r>
              <w:rPr>
                <w:szCs w:val="24"/>
              </w:rPr>
              <w:t>ize briefing: Universal Credit f</w:t>
            </w:r>
            <w:r w:rsidRPr="003F01DF">
              <w:rPr>
                <w:szCs w:val="24"/>
              </w:rPr>
              <w:t xml:space="preserve">ull </w:t>
            </w:r>
            <w:r>
              <w:rPr>
                <w:szCs w:val="24"/>
              </w:rPr>
              <w:t>s</w:t>
            </w:r>
            <w:r w:rsidRPr="003F01DF">
              <w:rPr>
                <w:szCs w:val="24"/>
              </w:rPr>
              <w:t xml:space="preserve">ervice </w:t>
            </w:r>
            <w:r>
              <w:rPr>
                <w:szCs w:val="24"/>
              </w:rPr>
              <w:t>r</w:t>
            </w:r>
            <w:r w:rsidRPr="003F01DF">
              <w:rPr>
                <w:szCs w:val="24"/>
              </w:rPr>
              <w:t xml:space="preserve">oll </w:t>
            </w:r>
            <w:r>
              <w:rPr>
                <w:szCs w:val="24"/>
              </w:rPr>
              <w:t>o</w:t>
            </w:r>
            <w:r w:rsidRPr="003F01DF">
              <w:rPr>
                <w:szCs w:val="24"/>
              </w:rPr>
              <w:t>ut in Lancashire</w:t>
            </w:r>
          </w:p>
        </w:tc>
        <w:tc>
          <w:tcPr>
            <w:tcW w:w="1956" w:type="dxa"/>
          </w:tcPr>
          <w:p w14:paraId="20BFD783" w14:textId="658A58CF" w:rsidR="00E53C64" w:rsidRDefault="00E53C64" w:rsidP="004A4E1B">
            <w:pPr>
              <w:rPr>
                <w:szCs w:val="24"/>
              </w:rPr>
            </w:pPr>
            <w:r>
              <w:rPr>
                <w:szCs w:val="24"/>
              </w:rPr>
              <w:t>Rapporteur (CC G Oliver)</w:t>
            </w:r>
          </w:p>
        </w:tc>
        <w:tc>
          <w:tcPr>
            <w:tcW w:w="2764" w:type="dxa"/>
          </w:tcPr>
          <w:p w14:paraId="7ABB84ED" w14:textId="2512DF3D" w:rsidR="00E53C64" w:rsidRDefault="003F01DF" w:rsidP="004A4E1B">
            <w:pPr>
              <w:rPr>
                <w:szCs w:val="24"/>
              </w:rPr>
            </w:pPr>
            <w:r>
              <w:rPr>
                <w:rFonts w:cs="Arial"/>
                <w:iCs/>
              </w:rPr>
              <w:t>Joanne Barker, Welfare Rights Manager, Health, Equity, Welfare and Partnerships, LCC</w:t>
            </w:r>
          </w:p>
        </w:tc>
        <w:tc>
          <w:tcPr>
            <w:tcW w:w="1735" w:type="dxa"/>
          </w:tcPr>
          <w:p w14:paraId="06E782D5" w14:textId="24C4D350" w:rsidR="00E53C64" w:rsidRDefault="004D3145" w:rsidP="004A4E1B">
            <w:pPr>
              <w:rPr>
                <w:szCs w:val="24"/>
              </w:rPr>
            </w:pPr>
            <w:r>
              <w:rPr>
                <w:szCs w:val="24"/>
              </w:rPr>
              <w:t>5 March</w:t>
            </w:r>
            <w:r w:rsidR="0022012D">
              <w:rPr>
                <w:szCs w:val="24"/>
              </w:rPr>
              <w:t xml:space="preserve"> 2019</w:t>
            </w:r>
          </w:p>
        </w:tc>
        <w:tc>
          <w:tcPr>
            <w:tcW w:w="2388" w:type="dxa"/>
          </w:tcPr>
          <w:p w14:paraId="7A92D182" w14:textId="77777777" w:rsidR="00E53C64" w:rsidRDefault="00E53C64" w:rsidP="004A4E1B">
            <w:pPr>
              <w:rPr>
                <w:szCs w:val="24"/>
              </w:rPr>
            </w:pPr>
          </w:p>
        </w:tc>
        <w:tc>
          <w:tcPr>
            <w:tcW w:w="1631" w:type="dxa"/>
          </w:tcPr>
          <w:p w14:paraId="6D7C67E7" w14:textId="77777777" w:rsidR="00E53C64" w:rsidRDefault="00E53C64" w:rsidP="004A4E1B">
            <w:pPr>
              <w:rPr>
                <w:szCs w:val="24"/>
              </w:rPr>
            </w:pPr>
          </w:p>
        </w:tc>
      </w:tr>
      <w:tr w:rsidR="00D05245" w14:paraId="296E1052" w14:textId="77777777" w:rsidTr="004D3145">
        <w:trPr>
          <w:trHeight w:val="316"/>
        </w:trPr>
        <w:tc>
          <w:tcPr>
            <w:tcW w:w="1737" w:type="dxa"/>
            <w:shd w:val="clear" w:color="auto" w:fill="D9D9D9" w:themeFill="background1" w:themeFillShade="D9"/>
          </w:tcPr>
          <w:p w14:paraId="73821CD0" w14:textId="7E74DF18" w:rsidR="008D7A97" w:rsidRDefault="008D7A97" w:rsidP="004A4E1B">
            <w:pPr>
              <w:rPr>
                <w:szCs w:val="24"/>
              </w:rPr>
            </w:pPr>
            <w:r>
              <w:rPr>
                <w:szCs w:val="24"/>
              </w:rPr>
              <w:t>Completed</w:t>
            </w:r>
          </w:p>
        </w:tc>
        <w:tc>
          <w:tcPr>
            <w:tcW w:w="2957" w:type="dxa"/>
            <w:shd w:val="clear" w:color="auto" w:fill="D9D9D9" w:themeFill="background1" w:themeFillShade="D9"/>
          </w:tcPr>
          <w:p w14:paraId="61985178" w14:textId="77777777" w:rsidR="008D7A97" w:rsidRDefault="008D7A97" w:rsidP="004A4E1B">
            <w:pPr>
              <w:rPr>
                <w:szCs w:val="24"/>
              </w:rPr>
            </w:pPr>
          </w:p>
        </w:tc>
        <w:tc>
          <w:tcPr>
            <w:tcW w:w="1956" w:type="dxa"/>
            <w:shd w:val="clear" w:color="auto" w:fill="D9D9D9" w:themeFill="background1" w:themeFillShade="D9"/>
          </w:tcPr>
          <w:p w14:paraId="2B7A56D1" w14:textId="77777777" w:rsidR="008D7A97" w:rsidRDefault="008D7A97" w:rsidP="004A4E1B">
            <w:pPr>
              <w:rPr>
                <w:szCs w:val="24"/>
              </w:rPr>
            </w:pPr>
          </w:p>
        </w:tc>
        <w:tc>
          <w:tcPr>
            <w:tcW w:w="2764" w:type="dxa"/>
            <w:shd w:val="clear" w:color="auto" w:fill="D9D9D9" w:themeFill="background1" w:themeFillShade="D9"/>
          </w:tcPr>
          <w:p w14:paraId="0F614AD3" w14:textId="77777777" w:rsidR="008D7A97" w:rsidRDefault="008D7A97" w:rsidP="004A4E1B">
            <w:pPr>
              <w:rPr>
                <w:szCs w:val="24"/>
              </w:rPr>
            </w:pPr>
          </w:p>
        </w:tc>
        <w:tc>
          <w:tcPr>
            <w:tcW w:w="1735" w:type="dxa"/>
            <w:shd w:val="clear" w:color="auto" w:fill="D9D9D9" w:themeFill="background1" w:themeFillShade="D9"/>
          </w:tcPr>
          <w:p w14:paraId="22802B4A" w14:textId="77777777" w:rsidR="008D7A97" w:rsidRDefault="008D7A97" w:rsidP="004A4E1B">
            <w:pPr>
              <w:rPr>
                <w:szCs w:val="24"/>
              </w:rPr>
            </w:pPr>
          </w:p>
        </w:tc>
        <w:tc>
          <w:tcPr>
            <w:tcW w:w="2388" w:type="dxa"/>
            <w:shd w:val="clear" w:color="auto" w:fill="D9D9D9" w:themeFill="background1" w:themeFillShade="D9"/>
          </w:tcPr>
          <w:p w14:paraId="2A0976EC" w14:textId="77777777" w:rsidR="008D7A97" w:rsidRDefault="008D7A97" w:rsidP="004A4E1B">
            <w:pPr>
              <w:rPr>
                <w:szCs w:val="24"/>
              </w:rPr>
            </w:pPr>
          </w:p>
        </w:tc>
        <w:tc>
          <w:tcPr>
            <w:tcW w:w="1631" w:type="dxa"/>
            <w:shd w:val="clear" w:color="auto" w:fill="D9D9D9" w:themeFill="background1" w:themeFillShade="D9"/>
          </w:tcPr>
          <w:p w14:paraId="482408B0" w14:textId="77777777" w:rsidR="008D7A97" w:rsidRDefault="008D7A97" w:rsidP="004A4E1B">
            <w:pPr>
              <w:rPr>
                <w:szCs w:val="24"/>
              </w:rPr>
            </w:pPr>
          </w:p>
        </w:tc>
      </w:tr>
      <w:tr w:rsidR="00D05245" w14:paraId="632495A0" w14:textId="77777777" w:rsidTr="004D3145">
        <w:trPr>
          <w:trHeight w:val="510"/>
        </w:trPr>
        <w:tc>
          <w:tcPr>
            <w:tcW w:w="1737" w:type="dxa"/>
          </w:tcPr>
          <w:p w14:paraId="679F0CBF" w14:textId="77777777" w:rsidR="00FD50CF" w:rsidRDefault="00FD50CF" w:rsidP="00FD50CF">
            <w:pPr>
              <w:rPr>
                <w:rFonts w:cs="Arial"/>
                <w:szCs w:val="24"/>
              </w:rPr>
            </w:pPr>
            <w:r>
              <w:rPr>
                <w:rFonts w:cs="Arial"/>
                <w:szCs w:val="24"/>
              </w:rPr>
              <w:t>Governance of Police and Fire and Rescue Services in Lancashire</w:t>
            </w:r>
          </w:p>
          <w:p w14:paraId="6EE42D37" w14:textId="3CA02B04" w:rsidR="00FD50CF" w:rsidRDefault="00FD50CF" w:rsidP="004A4E1B">
            <w:pPr>
              <w:rPr>
                <w:szCs w:val="24"/>
              </w:rPr>
            </w:pPr>
          </w:p>
        </w:tc>
        <w:tc>
          <w:tcPr>
            <w:tcW w:w="2957" w:type="dxa"/>
          </w:tcPr>
          <w:p w14:paraId="42A781D4" w14:textId="3A303624" w:rsidR="00FD50CF" w:rsidRDefault="00FD50CF" w:rsidP="004A4E1B">
            <w:pPr>
              <w:rPr>
                <w:szCs w:val="24"/>
              </w:rPr>
            </w:pPr>
            <w:r>
              <w:rPr>
                <w:szCs w:val="24"/>
              </w:rPr>
              <w:t>Formulate recommendations on the local business plan and respond to public consultation</w:t>
            </w:r>
          </w:p>
        </w:tc>
        <w:tc>
          <w:tcPr>
            <w:tcW w:w="1956" w:type="dxa"/>
          </w:tcPr>
          <w:p w14:paraId="2F2C7CC1" w14:textId="1C558776" w:rsidR="00FD50CF" w:rsidRDefault="00FD50CF" w:rsidP="004A4E1B">
            <w:pPr>
              <w:rPr>
                <w:szCs w:val="24"/>
              </w:rPr>
            </w:pPr>
            <w:r>
              <w:rPr>
                <w:szCs w:val="24"/>
              </w:rPr>
              <w:t>Committee</w:t>
            </w:r>
          </w:p>
        </w:tc>
        <w:tc>
          <w:tcPr>
            <w:tcW w:w="2764" w:type="dxa"/>
          </w:tcPr>
          <w:p w14:paraId="743E7D30" w14:textId="77777777" w:rsidR="00FD50CF" w:rsidRDefault="00FD50CF" w:rsidP="00FD50CF">
            <w:pPr>
              <w:rPr>
                <w:szCs w:val="24"/>
              </w:rPr>
            </w:pPr>
            <w:r>
              <w:rPr>
                <w:szCs w:val="24"/>
              </w:rPr>
              <w:t>Police and Crime Commissioner, Chief Constable, Chief Fire Officer, Fire Brigades Union, Chair of Lancashire Fire Authority</w:t>
            </w:r>
          </w:p>
          <w:p w14:paraId="58BAD0AD" w14:textId="77777777" w:rsidR="00FD50CF" w:rsidRDefault="00FD50CF" w:rsidP="004A4E1B">
            <w:pPr>
              <w:rPr>
                <w:szCs w:val="24"/>
              </w:rPr>
            </w:pPr>
          </w:p>
        </w:tc>
        <w:tc>
          <w:tcPr>
            <w:tcW w:w="1735" w:type="dxa"/>
          </w:tcPr>
          <w:p w14:paraId="11E47184" w14:textId="49CA7B35" w:rsidR="00FD50CF" w:rsidRDefault="00A34A26" w:rsidP="004A4E1B">
            <w:pPr>
              <w:rPr>
                <w:szCs w:val="24"/>
              </w:rPr>
            </w:pPr>
            <w:r>
              <w:rPr>
                <w:szCs w:val="24"/>
              </w:rPr>
              <w:t>July/Sept (extraordinary meeting tbc)</w:t>
            </w:r>
          </w:p>
        </w:tc>
        <w:tc>
          <w:tcPr>
            <w:tcW w:w="2388" w:type="dxa"/>
          </w:tcPr>
          <w:p w14:paraId="03E38151" w14:textId="77E56B67" w:rsidR="00FD50CF" w:rsidRDefault="00A34A26" w:rsidP="004A4E1B">
            <w:pPr>
              <w:rPr>
                <w:szCs w:val="24"/>
              </w:rPr>
            </w:pPr>
            <w:r>
              <w:rPr>
                <w:szCs w:val="24"/>
              </w:rPr>
              <w:t>N/A</w:t>
            </w:r>
          </w:p>
        </w:tc>
        <w:tc>
          <w:tcPr>
            <w:tcW w:w="1631" w:type="dxa"/>
            <w:shd w:val="clear" w:color="auto" w:fill="E2EFD9" w:themeFill="accent6" w:themeFillTint="33"/>
          </w:tcPr>
          <w:p w14:paraId="49E4A1EB" w14:textId="7D3CBA41" w:rsidR="00FD50CF" w:rsidRPr="00A34A26" w:rsidRDefault="00A34A26" w:rsidP="004A4E1B">
            <w:pPr>
              <w:rPr>
                <w:szCs w:val="24"/>
              </w:rPr>
            </w:pPr>
            <w:r w:rsidRPr="00A34A26">
              <w:rPr>
                <w:szCs w:val="24"/>
              </w:rPr>
              <w:t>Complete – no longer proceeding with changes to fire governance at this time</w:t>
            </w:r>
          </w:p>
        </w:tc>
      </w:tr>
    </w:tbl>
    <w:p w14:paraId="709B6B22" w14:textId="77777777" w:rsidR="00A074D5" w:rsidRDefault="00A074D5" w:rsidP="00FF3033">
      <w:pPr>
        <w:rPr>
          <w:szCs w:val="24"/>
        </w:rPr>
      </w:pPr>
    </w:p>
    <w:p w14:paraId="73C97052" w14:textId="64C69A61" w:rsidR="00E53C64" w:rsidRPr="00E53C64" w:rsidRDefault="00E53C64" w:rsidP="00FF3033">
      <w:pPr>
        <w:rPr>
          <w:b/>
          <w:szCs w:val="24"/>
        </w:rPr>
      </w:pPr>
      <w:r w:rsidRPr="00E53C64">
        <w:rPr>
          <w:b/>
          <w:szCs w:val="24"/>
        </w:rPr>
        <w:lastRenderedPageBreak/>
        <w:t>Future meeting dates</w:t>
      </w:r>
    </w:p>
    <w:p w14:paraId="321D7A05" w14:textId="298AC7BD" w:rsidR="00E53C64" w:rsidRPr="00570BB1" w:rsidRDefault="00E53C64" w:rsidP="00FF3033">
      <w:pPr>
        <w:rPr>
          <w:color w:val="FF0000"/>
          <w:szCs w:val="24"/>
        </w:rPr>
      </w:pPr>
      <w:r>
        <w:rPr>
          <w:szCs w:val="24"/>
        </w:rPr>
        <w:t>2019/20 – 16 July; 15 October; 21 January 2020; and 21 April.</w:t>
      </w:r>
      <w:r w:rsidR="00570BB1">
        <w:rPr>
          <w:szCs w:val="24"/>
        </w:rPr>
        <w:t xml:space="preserve"> </w:t>
      </w:r>
      <w:r w:rsidR="00570BB1" w:rsidRPr="00570BB1">
        <w:rPr>
          <w:color w:val="FF0000"/>
          <w:szCs w:val="24"/>
        </w:rPr>
        <w:t>Work planning session May 2019?</w:t>
      </w:r>
    </w:p>
    <w:p w14:paraId="27C090F1" w14:textId="77777777" w:rsidR="00E53C64" w:rsidRDefault="00E53C64" w:rsidP="00FF3033">
      <w:pPr>
        <w:rPr>
          <w:szCs w:val="24"/>
        </w:rPr>
      </w:pPr>
    </w:p>
    <w:p w14:paraId="1569E161" w14:textId="5F5C7F72" w:rsidR="00521521" w:rsidRPr="00E53C64" w:rsidRDefault="00521521" w:rsidP="00FF3033">
      <w:pPr>
        <w:rPr>
          <w:b/>
          <w:szCs w:val="24"/>
        </w:rPr>
      </w:pPr>
      <w:r w:rsidRPr="00E53C64">
        <w:rPr>
          <w:b/>
          <w:szCs w:val="24"/>
        </w:rPr>
        <w:t>Additional suggestions</w:t>
      </w:r>
      <w:r w:rsidR="004D3145">
        <w:rPr>
          <w:b/>
          <w:szCs w:val="24"/>
        </w:rPr>
        <w:t>/organisations</w:t>
      </w:r>
      <w:r w:rsidRPr="00E53C64">
        <w:rPr>
          <w:b/>
          <w:szCs w:val="24"/>
        </w:rPr>
        <w:t>:</w:t>
      </w:r>
    </w:p>
    <w:p w14:paraId="19F7FA9E" w14:textId="77777777" w:rsidR="00163DC6" w:rsidRDefault="00A70F80" w:rsidP="00521521">
      <w:pPr>
        <w:pStyle w:val="ListParagraph"/>
        <w:numPr>
          <w:ilvl w:val="0"/>
          <w:numId w:val="6"/>
        </w:numPr>
        <w:rPr>
          <w:szCs w:val="24"/>
        </w:rPr>
      </w:pPr>
      <w:r>
        <w:rPr>
          <w:szCs w:val="24"/>
        </w:rPr>
        <w:t>Flood Risk Management -</w:t>
      </w:r>
      <w:r w:rsidR="00163DC6">
        <w:rPr>
          <w:szCs w:val="24"/>
        </w:rPr>
        <w:t xml:space="preserve"> </w:t>
      </w:r>
      <w:r>
        <w:rPr>
          <w:szCs w:val="24"/>
        </w:rPr>
        <w:t>p</w:t>
      </w:r>
      <w:r w:rsidR="00163DC6">
        <w:rPr>
          <w:szCs w:val="24"/>
        </w:rPr>
        <w:t>artnership working and the Environment Agency</w:t>
      </w:r>
      <w:r w:rsidR="00C00DB1">
        <w:rPr>
          <w:szCs w:val="24"/>
        </w:rPr>
        <w:t xml:space="preserve"> (2019)</w:t>
      </w:r>
    </w:p>
    <w:p w14:paraId="59563199" w14:textId="77777777" w:rsidR="00762714" w:rsidRDefault="00762714" w:rsidP="00521521">
      <w:pPr>
        <w:pStyle w:val="ListParagraph"/>
        <w:numPr>
          <w:ilvl w:val="0"/>
          <w:numId w:val="6"/>
        </w:numPr>
        <w:rPr>
          <w:szCs w:val="24"/>
        </w:rPr>
      </w:pPr>
      <w:r>
        <w:rPr>
          <w:szCs w:val="24"/>
        </w:rPr>
        <w:t>Scrutiny Inquiry Day on Natural Flood Risk Management</w:t>
      </w:r>
    </w:p>
    <w:p w14:paraId="2329E688" w14:textId="293A1A44" w:rsidR="00913D15" w:rsidRDefault="00A140C0" w:rsidP="003F01DF">
      <w:pPr>
        <w:pStyle w:val="ListParagraph"/>
        <w:numPr>
          <w:ilvl w:val="0"/>
          <w:numId w:val="6"/>
        </w:numPr>
        <w:rPr>
          <w:szCs w:val="24"/>
        </w:rPr>
      </w:pPr>
      <w:r>
        <w:rPr>
          <w:szCs w:val="24"/>
        </w:rPr>
        <w:t>Co-ordination of roadworks across Lancashire – LCC, utility companies and housing developers</w:t>
      </w:r>
    </w:p>
    <w:p w14:paraId="7A921CE4" w14:textId="10727217" w:rsidR="004D3145" w:rsidRPr="00641E26" w:rsidRDefault="004D3145" w:rsidP="004D3145">
      <w:pPr>
        <w:pStyle w:val="ListParagraph"/>
        <w:numPr>
          <w:ilvl w:val="0"/>
          <w:numId w:val="6"/>
        </w:numPr>
        <w:rPr>
          <w:rStyle w:val="Hyperlink"/>
          <w:color w:val="auto"/>
          <w:szCs w:val="24"/>
          <w:u w:val="none"/>
        </w:rPr>
      </w:pPr>
      <w:r w:rsidRPr="004D3145">
        <w:rPr>
          <w:szCs w:val="24"/>
        </w:rPr>
        <w:t xml:space="preserve">Lancashire Energy HQ, Natural Energy Wyre, Halite Energy, </w:t>
      </w:r>
      <w:proofErr w:type="spellStart"/>
      <w:r w:rsidRPr="004D3145">
        <w:rPr>
          <w:szCs w:val="24"/>
        </w:rPr>
        <w:t>Ecotricity</w:t>
      </w:r>
      <w:proofErr w:type="spellEnd"/>
      <w:r w:rsidR="00133D35">
        <w:rPr>
          <w:szCs w:val="24"/>
        </w:rPr>
        <w:t xml:space="preserve">, </w:t>
      </w:r>
      <w:hyperlink r:id="rId9" w:history="1">
        <w:r w:rsidR="00133D35" w:rsidRPr="00133D35">
          <w:rPr>
            <w:rStyle w:val="Hyperlink"/>
            <w:szCs w:val="24"/>
          </w:rPr>
          <w:t>Future Biogas</w:t>
        </w:r>
      </w:hyperlink>
    </w:p>
    <w:p w14:paraId="5F0B13D9" w14:textId="77777777" w:rsidR="00641E26" w:rsidRDefault="00641E26" w:rsidP="00641E26">
      <w:pPr>
        <w:rPr>
          <w:szCs w:val="24"/>
        </w:rPr>
      </w:pPr>
    </w:p>
    <w:p w14:paraId="1BDD8187" w14:textId="34367701" w:rsidR="00641E26" w:rsidRPr="00641E26" w:rsidRDefault="00641E26" w:rsidP="00641E26">
      <w:pPr>
        <w:rPr>
          <w:szCs w:val="24"/>
        </w:rPr>
      </w:pPr>
      <w:r w:rsidRPr="00641E26">
        <w:rPr>
          <w:szCs w:val="24"/>
        </w:rPr>
        <w:t>*</w:t>
      </w:r>
      <w:r>
        <w:rPr>
          <w:szCs w:val="24"/>
        </w:rPr>
        <w:t xml:space="preserve"> </w:t>
      </w:r>
      <w:r w:rsidRPr="00641E26">
        <w:rPr>
          <w:szCs w:val="24"/>
        </w:rPr>
        <w:t xml:space="preserve">= </w:t>
      </w:r>
      <w:r>
        <w:rPr>
          <w:szCs w:val="24"/>
        </w:rPr>
        <w:t>awaiting input into Issue Manager</w:t>
      </w:r>
    </w:p>
    <w:sectPr w:rsidR="00641E26" w:rsidRPr="00641E26" w:rsidSect="005842E9">
      <w:headerReference w:type="default" r:id="rId10"/>
      <w:footerReference w:type="default" r:id="rId11"/>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22755" w14:textId="77777777" w:rsidR="00020801" w:rsidRDefault="00020801" w:rsidP="00020801">
      <w:pPr>
        <w:spacing w:after="0" w:line="240" w:lineRule="auto"/>
      </w:pPr>
      <w:r>
        <w:separator/>
      </w:r>
    </w:p>
  </w:endnote>
  <w:endnote w:type="continuationSeparator" w:id="0">
    <w:p w14:paraId="12632019"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92C30" w14:textId="77777777" w:rsidR="00020801" w:rsidRDefault="00020801" w:rsidP="0002080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AFE17" w14:textId="77777777" w:rsidR="00020801" w:rsidRDefault="00020801" w:rsidP="00020801">
      <w:pPr>
        <w:spacing w:after="0" w:line="240" w:lineRule="auto"/>
      </w:pPr>
      <w:r>
        <w:separator/>
      </w:r>
    </w:p>
  </w:footnote>
  <w:footnote w:type="continuationSeparator" w:id="0">
    <w:p w14:paraId="517197F8"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F366C" w14:textId="77777777" w:rsidR="00933ED4" w:rsidRPr="00933ED4" w:rsidRDefault="00933ED4" w:rsidP="00933ED4">
    <w:pPr>
      <w:pStyle w:val="Header"/>
      <w:jc w:val="right"/>
      <w:rPr>
        <w:b/>
      </w:rPr>
    </w:pPr>
    <w:r w:rsidRPr="00933ED4">
      <w:rPr>
        <w:b/>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7ED"/>
    <w:multiLevelType w:val="hybridMultilevel"/>
    <w:tmpl w:val="86FCD7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60184C"/>
    <w:multiLevelType w:val="hybridMultilevel"/>
    <w:tmpl w:val="A27874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C4829"/>
    <w:multiLevelType w:val="hybridMultilevel"/>
    <w:tmpl w:val="1E88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D3956"/>
    <w:multiLevelType w:val="hybridMultilevel"/>
    <w:tmpl w:val="C8585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0D3756"/>
    <w:multiLevelType w:val="hybridMultilevel"/>
    <w:tmpl w:val="35C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327D06"/>
    <w:multiLevelType w:val="hybridMultilevel"/>
    <w:tmpl w:val="D1C27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0"/>
  </w:num>
  <w:num w:numId="6">
    <w:abstractNumId w:val="5"/>
  </w:num>
  <w:num w:numId="7">
    <w:abstractNumId w:val="8"/>
  </w:num>
  <w:num w:numId="8">
    <w:abstractNumId w:val="9"/>
  </w:num>
  <w:num w:numId="9">
    <w:abstractNumId w:val="1"/>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30E5F"/>
    <w:rsid w:val="00093A16"/>
    <w:rsid w:val="000D5685"/>
    <w:rsid w:val="000E7738"/>
    <w:rsid w:val="00111A57"/>
    <w:rsid w:val="0012008E"/>
    <w:rsid w:val="0013341F"/>
    <w:rsid w:val="00133D35"/>
    <w:rsid w:val="00163DC6"/>
    <w:rsid w:val="001A4534"/>
    <w:rsid w:val="001E0917"/>
    <w:rsid w:val="0022012D"/>
    <w:rsid w:val="00286367"/>
    <w:rsid w:val="002B1D6A"/>
    <w:rsid w:val="002B57C5"/>
    <w:rsid w:val="002B6339"/>
    <w:rsid w:val="002F7473"/>
    <w:rsid w:val="00330248"/>
    <w:rsid w:val="003573DE"/>
    <w:rsid w:val="003F01DF"/>
    <w:rsid w:val="00422259"/>
    <w:rsid w:val="004278D7"/>
    <w:rsid w:val="00445F25"/>
    <w:rsid w:val="004C4F1C"/>
    <w:rsid w:val="004D3145"/>
    <w:rsid w:val="004F065C"/>
    <w:rsid w:val="0051373F"/>
    <w:rsid w:val="00520B45"/>
    <w:rsid w:val="00521521"/>
    <w:rsid w:val="00551D55"/>
    <w:rsid w:val="00556A6B"/>
    <w:rsid w:val="00570BB1"/>
    <w:rsid w:val="005842E9"/>
    <w:rsid w:val="00585376"/>
    <w:rsid w:val="005B1967"/>
    <w:rsid w:val="005B3002"/>
    <w:rsid w:val="005C0BD3"/>
    <w:rsid w:val="005F70B6"/>
    <w:rsid w:val="00641E26"/>
    <w:rsid w:val="00666DE4"/>
    <w:rsid w:val="00673267"/>
    <w:rsid w:val="00673BED"/>
    <w:rsid w:val="006F702A"/>
    <w:rsid w:val="00727378"/>
    <w:rsid w:val="00762714"/>
    <w:rsid w:val="00764349"/>
    <w:rsid w:val="00773C43"/>
    <w:rsid w:val="007F4FE8"/>
    <w:rsid w:val="007F7306"/>
    <w:rsid w:val="00826CA9"/>
    <w:rsid w:val="00832E7F"/>
    <w:rsid w:val="00853A6F"/>
    <w:rsid w:val="008B6E06"/>
    <w:rsid w:val="008D7A97"/>
    <w:rsid w:val="00913D15"/>
    <w:rsid w:val="00920E92"/>
    <w:rsid w:val="00933ED4"/>
    <w:rsid w:val="00952763"/>
    <w:rsid w:val="00957472"/>
    <w:rsid w:val="00963A8E"/>
    <w:rsid w:val="009D136D"/>
    <w:rsid w:val="009E4890"/>
    <w:rsid w:val="00A074D5"/>
    <w:rsid w:val="00A10125"/>
    <w:rsid w:val="00A140C0"/>
    <w:rsid w:val="00A21829"/>
    <w:rsid w:val="00A308E3"/>
    <w:rsid w:val="00A34A26"/>
    <w:rsid w:val="00A70F80"/>
    <w:rsid w:val="00AA7122"/>
    <w:rsid w:val="00AC2DBC"/>
    <w:rsid w:val="00AF1A9A"/>
    <w:rsid w:val="00AF6C6A"/>
    <w:rsid w:val="00B15642"/>
    <w:rsid w:val="00B40E68"/>
    <w:rsid w:val="00B46FA2"/>
    <w:rsid w:val="00B644E5"/>
    <w:rsid w:val="00B86F74"/>
    <w:rsid w:val="00BA63A6"/>
    <w:rsid w:val="00C00DB1"/>
    <w:rsid w:val="00C01101"/>
    <w:rsid w:val="00C6466E"/>
    <w:rsid w:val="00CC19C8"/>
    <w:rsid w:val="00CD5073"/>
    <w:rsid w:val="00D05245"/>
    <w:rsid w:val="00DB4B6C"/>
    <w:rsid w:val="00DC1AF7"/>
    <w:rsid w:val="00DE2BD7"/>
    <w:rsid w:val="00DE680E"/>
    <w:rsid w:val="00E059AF"/>
    <w:rsid w:val="00E10F20"/>
    <w:rsid w:val="00E53C64"/>
    <w:rsid w:val="00E97F6E"/>
    <w:rsid w:val="00F02F3F"/>
    <w:rsid w:val="00F11635"/>
    <w:rsid w:val="00F20079"/>
    <w:rsid w:val="00F73536"/>
    <w:rsid w:val="00F87420"/>
    <w:rsid w:val="00F96950"/>
    <w:rsid w:val="00FD50CF"/>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A18C"/>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character" w:styleId="FollowedHyperlink">
    <w:name w:val="FollowedHyperlink"/>
    <w:basedOn w:val="DefaultParagraphFont"/>
    <w:uiPriority w:val="99"/>
    <w:semiHidden/>
    <w:unhideWhenUsed/>
    <w:rsid w:val="00C00DB1"/>
    <w:rPr>
      <w:color w:val="954F72" w:themeColor="followedHyperlink"/>
      <w:u w:val="single"/>
    </w:rPr>
  </w:style>
  <w:style w:type="paragraph" w:styleId="BalloonText">
    <w:name w:val="Balloon Text"/>
    <w:basedOn w:val="Normal"/>
    <w:link w:val="BalloonTextChar"/>
    <w:uiPriority w:val="99"/>
    <w:semiHidden/>
    <w:unhideWhenUsed/>
    <w:rsid w:val="000E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38"/>
    <w:rPr>
      <w:rFonts w:ascii="Segoe UI" w:hAnsi="Segoe UI" w:cs="Segoe UI"/>
      <w:sz w:val="18"/>
      <w:szCs w:val="18"/>
    </w:rPr>
  </w:style>
  <w:style w:type="character" w:styleId="CommentReference">
    <w:name w:val="annotation reference"/>
    <w:basedOn w:val="DefaultParagraphFont"/>
    <w:uiPriority w:val="99"/>
    <w:semiHidden/>
    <w:unhideWhenUsed/>
    <w:rsid w:val="00F87420"/>
    <w:rPr>
      <w:sz w:val="16"/>
      <w:szCs w:val="16"/>
    </w:rPr>
  </w:style>
  <w:style w:type="paragraph" w:styleId="CommentText">
    <w:name w:val="annotation text"/>
    <w:basedOn w:val="Normal"/>
    <w:link w:val="CommentTextChar"/>
    <w:uiPriority w:val="99"/>
    <w:semiHidden/>
    <w:unhideWhenUsed/>
    <w:rsid w:val="00F87420"/>
    <w:pPr>
      <w:spacing w:line="240" w:lineRule="auto"/>
    </w:pPr>
    <w:rPr>
      <w:sz w:val="20"/>
      <w:szCs w:val="20"/>
    </w:rPr>
  </w:style>
  <w:style w:type="character" w:customStyle="1" w:styleId="CommentTextChar">
    <w:name w:val="Comment Text Char"/>
    <w:basedOn w:val="DefaultParagraphFont"/>
    <w:link w:val="CommentText"/>
    <w:uiPriority w:val="99"/>
    <w:semiHidden/>
    <w:rsid w:val="00F87420"/>
    <w:rPr>
      <w:sz w:val="20"/>
      <w:szCs w:val="20"/>
    </w:rPr>
  </w:style>
  <w:style w:type="paragraph" w:styleId="CommentSubject">
    <w:name w:val="annotation subject"/>
    <w:basedOn w:val="CommentText"/>
    <w:next w:val="CommentText"/>
    <w:link w:val="CommentSubjectChar"/>
    <w:uiPriority w:val="99"/>
    <w:semiHidden/>
    <w:unhideWhenUsed/>
    <w:rsid w:val="00F87420"/>
    <w:rPr>
      <w:b/>
      <w:bCs/>
    </w:rPr>
  </w:style>
  <w:style w:type="character" w:customStyle="1" w:styleId="CommentSubjectChar">
    <w:name w:val="Comment Subject Char"/>
    <w:basedOn w:val="CommentTextChar"/>
    <w:link w:val="CommentSubject"/>
    <w:uiPriority w:val="99"/>
    <w:semiHidden/>
    <w:rsid w:val="00F874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98607">
      <w:bodyDiv w:val="1"/>
      <w:marLeft w:val="0"/>
      <w:marRight w:val="0"/>
      <w:marTop w:val="0"/>
      <w:marBottom w:val="0"/>
      <w:divBdr>
        <w:top w:val="none" w:sz="0" w:space="0" w:color="auto"/>
        <w:left w:val="none" w:sz="0" w:space="0" w:color="auto"/>
        <w:bottom w:val="none" w:sz="0" w:space="0" w:color="auto"/>
        <w:right w:val="none" w:sz="0" w:space="0" w:color="auto"/>
      </w:divBdr>
    </w:div>
    <w:div w:id="1899516951">
      <w:bodyDiv w:val="1"/>
      <w:marLeft w:val="0"/>
      <w:marRight w:val="0"/>
      <w:marTop w:val="0"/>
      <w:marBottom w:val="0"/>
      <w:divBdr>
        <w:top w:val="none" w:sz="0" w:space="0" w:color="auto"/>
        <w:left w:val="none" w:sz="0" w:space="0" w:color="auto"/>
        <w:bottom w:val="none" w:sz="0" w:space="0" w:color="auto"/>
        <w:right w:val="none" w:sz="0" w:space="0" w:color="auto"/>
      </w:divBdr>
    </w:div>
    <w:div w:id="21355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forthenorth.com/strategic-development-corridors/central-penn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orces.net/services/raf/green-revolution-raf-marham-switches-renewable-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940</TotalTime>
  <Pages>6</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Halsall, Gary</cp:lastModifiedBy>
  <cp:revision>60</cp:revision>
  <cp:lastPrinted>2018-05-24T09:59:00Z</cp:lastPrinted>
  <dcterms:created xsi:type="dcterms:W3CDTF">2018-04-04T11:20:00Z</dcterms:created>
  <dcterms:modified xsi:type="dcterms:W3CDTF">2019-02-19T16:14:00Z</dcterms:modified>
</cp:coreProperties>
</file>